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81E5F" w14:textId="5547FC12" w:rsidR="00531CAA" w:rsidRPr="00531CAA" w:rsidRDefault="00D12C7D" w:rsidP="00531CAA">
      <w:pPr>
        <w:jc w:val="center"/>
        <w:rPr>
          <w:b/>
          <w:sz w:val="32"/>
          <w:szCs w:val="32"/>
        </w:rPr>
      </w:pPr>
      <w:r w:rsidRPr="00531CAA">
        <w:rPr>
          <w:b/>
          <w:sz w:val="32"/>
          <w:szCs w:val="32"/>
        </w:rPr>
        <w:t>УПУТСТВО ЗА ПОДНОСИОЦЕ ПРИЈАВЕ</w:t>
      </w:r>
    </w:p>
    <w:tbl>
      <w:tblPr>
        <w:tblStyle w:val="TableGrid"/>
        <w:tblW w:w="10170" w:type="dxa"/>
        <w:tblInd w:w="-545" w:type="dxa"/>
        <w:tblLook w:val="04A0" w:firstRow="1" w:lastRow="0" w:firstColumn="1" w:lastColumn="0" w:noHBand="0" w:noVBand="1"/>
      </w:tblPr>
      <w:tblGrid>
        <w:gridCol w:w="540"/>
        <w:gridCol w:w="3240"/>
        <w:gridCol w:w="6390"/>
      </w:tblGrid>
      <w:tr w:rsidR="00A40C84" w14:paraId="37991FFE" w14:textId="77777777" w:rsidTr="00962FDE">
        <w:trPr>
          <w:trHeight w:val="1294"/>
        </w:trPr>
        <w:tc>
          <w:tcPr>
            <w:tcW w:w="10170" w:type="dxa"/>
            <w:gridSpan w:val="3"/>
            <w:shd w:val="clear" w:color="auto" w:fill="DEEAF6" w:themeFill="accent1" w:themeFillTint="33"/>
            <w:vAlign w:val="center"/>
          </w:tcPr>
          <w:p w14:paraId="45823F38" w14:textId="77777777" w:rsidR="00D12C7D" w:rsidRDefault="00D12C7D" w:rsidP="00AD521C">
            <w:pPr>
              <w:jc w:val="center"/>
              <w:rPr>
                <w:b/>
                <w:bCs/>
                <w:sz w:val="24"/>
                <w:szCs w:val="24"/>
              </w:rPr>
            </w:pPr>
            <w:r w:rsidRPr="00846476">
              <w:rPr>
                <w:b/>
                <w:bCs/>
                <w:sz w:val="24"/>
                <w:szCs w:val="24"/>
              </w:rPr>
              <w:t>ТРАНСФЕР ЗА ФИНАНСИРАЊЕ ОБРАЗОВАЊА</w:t>
            </w:r>
          </w:p>
          <w:p w14:paraId="30C024DB" w14:textId="77777777" w:rsidR="00D12C7D" w:rsidRDefault="00D12C7D" w:rsidP="00AD521C">
            <w:proofErr w:type="spellStart"/>
            <w:r w:rsidRPr="00C24C3A">
              <w:rPr>
                <w:b/>
                <w:bCs/>
                <w:sz w:val="24"/>
                <w:szCs w:val="24"/>
              </w:rPr>
              <w:t>Стални</w:t>
            </w:r>
            <w:proofErr w:type="spellEnd"/>
            <w:r w:rsidRPr="00C24C3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4C3A">
              <w:rPr>
                <w:b/>
                <w:bCs/>
                <w:sz w:val="24"/>
                <w:szCs w:val="24"/>
              </w:rPr>
              <w:t>јавни</w:t>
            </w:r>
            <w:proofErr w:type="spellEnd"/>
            <w:r w:rsidRPr="00C24C3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4C3A">
              <w:rPr>
                <w:b/>
                <w:bCs/>
                <w:sz w:val="24"/>
                <w:szCs w:val="24"/>
              </w:rPr>
              <w:t>позив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4C3A">
              <w:rPr>
                <w:b/>
                <w:bCs/>
                <w:sz w:val="24"/>
                <w:szCs w:val="24"/>
              </w:rPr>
              <w:t>за</w:t>
            </w:r>
            <w:proofErr w:type="spellEnd"/>
            <w:r w:rsidRPr="00C24C3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4C3A">
              <w:rPr>
                <w:b/>
                <w:bCs/>
                <w:sz w:val="24"/>
                <w:szCs w:val="24"/>
              </w:rPr>
              <w:t>подршку</w:t>
            </w:r>
            <w:proofErr w:type="spellEnd"/>
            <w:r w:rsidRPr="00C24C3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4C3A">
              <w:rPr>
                <w:b/>
                <w:bCs/>
                <w:sz w:val="24"/>
                <w:szCs w:val="24"/>
              </w:rPr>
              <w:t>такмичењима</w:t>
            </w:r>
            <w:proofErr w:type="spellEnd"/>
            <w:r w:rsidRPr="00C24C3A"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C24C3A">
              <w:rPr>
                <w:b/>
                <w:bCs/>
                <w:sz w:val="24"/>
                <w:szCs w:val="24"/>
              </w:rPr>
              <w:t>такмичарским</w:t>
            </w:r>
            <w:proofErr w:type="spellEnd"/>
            <w:r w:rsidRPr="00C24C3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4C3A">
              <w:rPr>
                <w:b/>
                <w:bCs/>
                <w:sz w:val="24"/>
                <w:szCs w:val="24"/>
              </w:rPr>
              <w:t>манифестацијама</w:t>
            </w:r>
            <w:proofErr w:type="spellEnd"/>
            <w:r w:rsidRPr="00C24C3A">
              <w:rPr>
                <w:b/>
                <w:bCs/>
                <w:sz w:val="24"/>
                <w:szCs w:val="24"/>
              </w:rPr>
              <w:t xml:space="preserve"> у </w:t>
            </w:r>
            <w:proofErr w:type="spellStart"/>
            <w:r w:rsidRPr="00C24C3A">
              <w:rPr>
                <w:b/>
                <w:bCs/>
                <w:sz w:val="24"/>
                <w:szCs w:val="24"/>
              </w:rPr>
              <w:t>области</w:t>
            </w:r>
            <w:proofErr w:type="spellEnd"/>
            <w:r w:rsidRPr="00C24C3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4C3A">
              <w:rPr>
                <w:b/>
                <w:bCs/>
                <w:sz w:val="24"/>
                <w:szCs w:val="24"/>
              </w:rPr>
              <w:t>одгоја</w:t>
            </w:r>
            <w:proofErr w:type="spellEnd"/>
            <w:r w:rsidRPr="00C24C3A"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C24C3A">
              <w:rPr>
                <w:b/>
                <w:bCs/>
                <w:sz w:val="24"/>
                <w:szCs w:val="24"/>
              </w:rPr>
              <w:t>образовања</w:t>
            </w:r>
            <w:proofErr w:type="spellEnd"/>
            <w:r w:rsidRPr="00C24C3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4C3A">
              <w:rPr>
                <w:b/>
                <w:bCs/>
                <w:sz w:val="24"/>
                <w:szCs w:val="24"/>
              </w:rPr>
              <w:t>из</w:t>
            </w:r>
            <w:proofErr w:type="spellEnd"/>
            <w:r w:rsidRPr="00C24C3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4C3A">
              <w:rPr>
                <w:b/>
                <w:bCs/>
                <w:sz w:val="24"/>
                <w:szCs w:val="24"/>
              </w:rPr>
              <w:t>Буџета</w:t>
            </w:r>
            <w:proofErr w:type="spellEnd"/>
            <w:r w:rsidRPr="00C24C3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4C3A">
              <w:rPr>
                <w:b/>
                <w:bCs/>
                <w:sz w:val="24"/>
                <w:szCs w:val="24"/>
              </w:rPr>
              <w:t>Федерације</w:t>
            </w:r>
            <w:proofErr w:type="spellEnd"/>
            <w:r w:rsidRPr="00C24C3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4C3A">
              <w:rPr>
                <w:b/>
                <w:bCs/>
                <w:sz w:val="24"/>
                <w:szCs w:val="24"/>
              </w:rPr>
              <w:t>Босне</w:t>
            </w:r>
            <w:proofErr w:type="spellEnd"/>
            <w:r w:rsidRPr="00C24C3A"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C24C3A">
              <w:rPr>
                <w:b/>
                <w:bCs/>
                <w:sz w:val="24"/>
                <w:szCs w:val="24"/>
              </w:rPr>
              <w:t>Херцеговине</w:t>
            </w:r>
            <w:proofErr w:type="spellEnd"/>
            <w:r w:rsidRPr="00C24C3A">
              <w:rPr>
                <w:b/>
                <w:bCs/>
                <w:sz w:val="24"/>
                <w:szCs w:val="24"/>
              </w:rPr>
              <w:t xml:space="preserve"> у 202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C24C3A">
              <w:rPr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C24C3A">
              <w:rPr>
                <w:b/>
                <w:bCs/>
                <w:sz w:val="24"/>
                <w:szCs w:val="24"/>
              </w:rPr>
              <w:t>години</w:t>
            </w:r>
            <w:proofErr w:type="spellEnd"/>
          </w:p>
          <w:p w14:paraId="1390DDC9" w14:textId="3C027654" w:rsidR="00A40C84" w:rsidRPr="00A40C84" w:rsidRDefault="00A40C84" w:rsidP="00C24C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86516" w14:paraId="24EA8999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1E00AA86" w14:textId="3C5F8B85" w:rsidR="00286516" w:rsidRPr="00C50951" w:rsidRDefault="00286516" w:rsidP="00531CAA">
            <w:r w:rsidRPr="00C50951">
              <w:t>1</w:t>
            </w:r>
            <w:r w:rsidR="002B5B75">
              <w:t>.</w:t>
            </w:r>
          </w:p>
        </w:tc>
        <w:tc>
          <w:tcPr>
            <w:tcW w:w="3240" w:type="dxa"/>
            <w:vAlign w:val="center"/>
          </w:tcPr>
          <w:p w14:paraId="1A9A92DA" w14:textId="62868C63" w:rsidR="00286516" w:rsidRPr="00C50951" w:rsidRDefault="008A5386" w:rsidP="00531CAA">
            <w:proofErr w:type="spellStart"/>
            <w:r>
              <w:t>Општи</w:t>
            </w:r>
            <w:proofErr w:type="spellEnd"/>
            <w:r>
              <w:t xml:space="preserve"> </w:t>
            </w:r>
            <w:proofErr w:type="spellStart"/>
            <w:r>
              <w:t>циљ</w:t>
            </w:r>
            <w:proofErr w:type="spellEnd"/>
            <w:r>
              <w:t xml:space="preserve"> у </w:t>
            </w:r>
            <w:proofErr w:type="spellStart"/>
            <w:r w:rsidRPr="00C50951">
              <w:t>области</w:t>
            </w:r>
            <w:proofErr w:type="spellEnd"/>
            <w:r w:rsidRPr="00C50951">
              <w:t xml:space="preserve"> </w:t>
            </w:r>
            <w:proofErr w:type="spellStart"/>
            <w:r w:rsidRPr="00C50951">
              <w:t>која</w:t>
            </w:r>
            <w:proofErr w:type="spellEnd"/>
            <w:r w:rsidRPr="00C50951">
              <w:t xml:space="preserve"> </w:t>
            </w:r>
            <w:proofErr w:type="spellStart"/>
            <w:r w:rsidRPr="00C50951">
              <w:t>је</w:t>
            </w:r>
            <w:proofErr w:type="spellEnd"/>
            <w:r w:rsidRPr="00C50951">
              <w:t xml:space="preserve"> </w:t>
            </w:r>
            <w:proofErr w:type="spellStart"/>
            <w:r w:rsidRPr="00C50951">
              <w:t>предмет</w:t>
            </w:r>
            <w:proofErr w:type="spellEnd"/>
            <w:r w:rsidRPr="00C50951">
              <w:t xml:space="preserve"> </w:t>
            </w:r>
            <w:proofErr w:type="spellStart"/>
            <w:r w:rsidRPr="00C50951">
              <w:t>финансирања</w:t>
            </w:r>
            <w:proofErr w:type="spellEnd"/>
            <w:r w:rsidRPr="00C50951">
              <w:t>:</w:t>
            </w:r>
          </w:p>
        </w:tc>
        <w:tc>
          <w:tcPr>
            <w:tcW w:w="6390" w:type="dxa"/>
            <w:vAlign w:val="center"/>
          </w:tcPr>
          <w:p w14:paraId="37006334" w14:textId="3D095FD0" w:rsidR="00286516" w:rsidRPr="00C50951" w:rsidRDefault="008A5386" w:rsidP="00531CAA">
            <w:proofErr w:type="spellStart"/>
            <w:r w:rsidRPr="00C50951">
              <w:t>Унапређ</w:t>
            </w:r>
            <w:r>
              <w:t>ење</w:t>
            </w:r>
            <w:proofErr w:type="spellEnd"/>
            <w:r w:rsidRPr="00C50951">
              <w:t xml:space="preserve"> </w:t>
            </w:r>
            <w:proofErr w:type="spellStart"/>
            <w:r w:rsidRPr="00C50951">
              <w:t>образовног</w:t>
            </w:r>
            <w:proofErr w:type="spellEnd"/>
            <w:r w:rsidRPr="00C50951">
              <w:t xml:space="preserve"> </w:t>
            </w:r>
            <w:proofErr w:type="spellStart"/>
            <w:r w:rsidRPr="00C50951">
              <w:t>система</w:t>
            </w:r>
            <w:proofErr w:type="spellEnd"/>
            <w:r w:rsidRPr="00C50951">
              <w:t xml:space="preserve"> у </w:t>
            </w:r>
            <w:proofErr w:type="spellStart"/>
            <w:r w:rsidRPr="00C50951">
              <w:t>Федерацији</w:t>
            </w:r>
            <w:proofErr w:type="spellEnd"/>
            <w:r w:rsidRPr="00C50951">
              <w:t xml:space="preserve"> </w:t>
            </w:r>
            <w:proofErr w:type="spellStart"/>
            <w:r w:rsidRPr="00C50951">
              <w:t>БиХ</w:t>
            </w:r>
            <w:proofErr w:type="spellEnd"/>
          </w:p>
        </w:tc>
      </w:tr>
      <w:tr w:rsidR="002B5B75" w14:paraId="317FBA92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1F5D2D65" w14:textId="38783FE4" w:rsidR="002B5B75" w:rsidRPr="00C50951" w:rsidRDefault="002B5B75" w:rsidP="00531CAA">
            <w:r>
              <w:t>2.</w:t>
            </w:r>
          </w:p>
        </w:tc>
        <w:tc>
          <w:tcPr>
            <w:tcW w:w="3240" w:type="dxa"/>
            <w:vAlign w:val="center"/>
          </w:tcPr>
          <w:p w14:paraId="54A343D9" w14:textId="7AF3382F" w:rsidR="002B5B75" w:rsidRDefault="008A5386" w:rsidP="00531CAA">
            <w:proofErr w:type="spellStart"/>
            <w:r>
              <w:t>Посебни</w:t>
            </w:r>
            <w:proofErr w:type="spellEnd"/>
            <w:r>
              <w:t xml:space="preserve"> </w:t>
            </w:r>
            <w:proofErr w:type="spellStart"/>
            <w:r>
              <w:t>циљ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реализује</w:t>
            </w:r>
            <w:proofErr w:type="spellEnd"/>
            <w:r>
              <w:t xml:space="preserve"> </w:t>
            </w:r>
            <w:proofErr w:type="spellStart"/>
            <w:r>
              <w:t>путем</w:t>
            </w:r>
            <w:proofErr w:type="spellEnd"/>
            <w:r>
              <w:t xml:space="preserve"> </w:t>
            </w:r>
            <w:proofErr w:type="spellStart"/>
            <w:r>
              <w:t>Сталног</w:t>
            </w:r>
            <w:proofErr w:type="spellEnd"/>
            <w:r>
              <w:t xml:space="preserve"> </w:t>
            </w:r>
            <w:proofErr w:type="spellStart"/>
            <w:r>
              <w:t>јавног</w:t>
            </w:r>
            <w:proofErr w:type="spellEnd"/>
            <w:r>
              <w:t xml:space="preserve"> </w:t>
            </w:r>
            <w:proofErr w:type="spellStart"/>
            <w:r>
              <w:t>позива</w:t>
            </w:r>
            <w:proofErr w:type="spellEnd"/>
            <w:r>
              <w:t>:</w:t>
            </w:r>
          </w:p>
        </w:tc>
        <w:tc>
          <w:tcPr>
            <w:tcW w:w="6390" w:type="dxa"/>
            <w:vAlign w:val="center"/>
          </w:tcPr>
          <w:p w14:paraId="5560E236" w14:textId="323A8AE5" w:rsidR="00C24C3A" w:rsidRPr="00C24C3A" w:rsidRDefault="008A5386" w:rsidP="00C24C3A">
            <w:pPr>
              <w:tabs>
                <w:tab w:val="center" w:pos="4679"/>
              </w:tabs>
              <w:overflowPunct w:val="0"/>
              <w:autoSpaceDE w:val="0"/>
              <w:autoSpaceDN w:val="0"/>
              <w:adjustRightInd w:val="0"/>
              <w:ind w:right="46"/>
              <w:jc w:val="both"/>
            </w:pPr>
            <w:proofErr w:type="spellStart"/>
            <w:r>
              <w:t>П</w:t>
            </w:r>
            <w:r w:rsidRPr="00C24C3A">
              <w:t>одршка</w:t>
            </w:r>
            <w:proofErr w:type="spellEnd"/>
            <w:r w:rsidRPr="00C24C3A">
              <w:t xml:space="preserve"> </w:t>
            </w:r>
            <w:proofErr w:type="spellStart"/>
            <w:r w:rsidRPr="00C24C3A">
              <w:t>такмичењима</w:t>
            </w:r>
            <w:proofErr w:type="spellEnd"/>
            <w:r w:rsidRPr="00C24C3A">
              <w:t xml:space="preserve">, </w:t>
            </w:r>
            <w:proofErr w:type="spellStart"/>
            <w:r w:rsidRPr="00C24C3A">
              <w:t>такмичарским</w:t>
            </w:r>
            <w:proofErr w:type="spellEnd"/>
            <w:r w:rsidRPr="00C24C3A">
              <w:t xml:space="preserve"> </w:t>
            </w:r>
            <w:proofErr w:type="spellStart"/>
            <w:r w:rsidRPr="00C24C3A">
              <w:t>манифестацијама</w:t>
            </w:r>
            <w:proofErr w:type="spellEnd"/>
            <w:r w:rsidRPr="00C24C3A">
              <w:t xml:space="preserve"> и </w:t>
            </w:r>
            <w:proofErr w:type="spellStart"/>
            <w:r w:rsidRPr="00C24C3A">
              <w:t>смотрама</w:t>
            </w:r>
            <w:proofErr w:type="spellEnd"/>
            <w:r w:rsidRPr="00C24C3A">
              <w:t xml:space="preserve"> </w:t>
            </w:r>
            <w:proofErr w:type="spellStart"/>
            <w:r w:rsidRPr="00C24C3A">
              <w:t>знања</w:t>
            </w:r>
            <w:proofErr w:type="spellEnd"/>
            <w:r w:rsidRPr="00C24C3A">
              <w:t xml:space="preserve"> у </w:t>
            </w:r>
            <w:proofErr w:type="spellStart"/>
            <w:r w:rsidRPr="00C24C3A">
              <w:t>области</w:t>
            </w:r>
            <w:proofErr w:type="spellEnd"/>
            <w:r w:rsidRPr="00C24C3A">
              <w:t xml:space="preserve"> </w:t>
            </w:r>
            <w:proofErr w:type="spellStart"/>
            <w:r w:rsidRPr="00C24C3A">
              <w:t>одгоја</w:t>
            </w:r>
            <w:proofErr w:type="spellEnd"/>
            <w:r w:rsidRPr="00C24C3A">
              <w:t xml:space="preserve"> и </w:t>
            </w:r>
            <w:proofErr w:type="spellStart"/>
            <w:r w:rsidRPr="00C24C3A">
              <w:t>образовања</w:t>
            </w:r>
            <w:proofErr w:type="spellEnd"/>
            <w:r w:rsidRPr="00C24C3A">
              <w:t xml:space="preserve"> и </w:t>
            </w:r>
            <w:proofErr w:type="spellStart"/>
            <w:r w:rsidRPr="00C24C3A">
              <w:t>учешћу</w:t>
            </w:r>
            <w:proofErr w:type="spellEnd"/>
            <w:r w:rsidRPr="00C24C3A">
              <w:t xml:space="preserve"> </w:t>
            </w:r>
            <w:proofErr w:type="spellStart"/>
            <w:r w:rsidRPr="00C24C3A">
              <w:t>ученика</w:t>
            </w:r>
            <w:proofErr w:type="spellEnd"/>
            <w:r w:rsidRPr="00C24C3A">
              <w:t xml:space="preserve"> </w:t>
            </w:r>
            <w:proofErr w:type="spellStart"/>
            <w:r w:rsidRPr="00C24C3A">
              <w:t>на</w:t>
            </w:r>
            <w:proofErr w:type="spellEnd"/>
            <w:r w:rsidRPr="00C24C3A">
              <w:t xml:space="preserve"> </w:t>
            </w:r>
            <w:proofErr w:type="spellStart"/>
            <w:r w:rsidRPr="00C24C3A">
              <w:t>истим</w:t>
            </w:r>
            <w:proofErr w:type="spellEnd"/>
            <w:r w:rsidRPr="00C24C3A">
              <w:t xml:space="preserve"> с </w:t>
            </w:r>
            <w:proofErr w:type="spellStart"/>
            <w:r w:rsidRPr="00C24C3A">
              <w:t>циљем</w:t>
            </w:r>
            <w:proofErr w:type="spellEnd"/>
            <w:r w:rsidRPr="00C24C3A">
              <w:t xml:space="preserve"> </w:t>
            </w:r>
            <w:proofErr w:type="spellStart"/>
            <w:r w:rsidRPr="00C24C3A">
              <w:t>развоја</w:t>
            </w:r>
            <w:proofErr w:type="spellEnd"/>
            <w:r w:rsidRPr="00C24C3A">
              <w:t xml:space="preserve">, </w:t>
            </w:r>
            <w:proofErr w:type="spellStart"/>
            <w:r w:rsidRPr="00C24C3A">
              <w:t>афирмације</w:t>
            </w:r>
            <w:proofErr w:type="spellEnd"/>
            <w:r w:rsidRPr="00C24C3A">
              <w:t xml:space="preserve"> и </w:t>
            </w:r>
            <w:proofErr w:type="spellStart"/>
            <w:r w:rsidRPr="00C24C3A">
              <w:t>промоције</w:t>
            </w:r>
            <w:proofErr w:type="spellEnd"/>
            <w:r w:rsidRPr="00C24C3A">
              <w:t xml:space="preserve"> </w:t>
            </w:r>
            <w:proofErr w:type="spellStart"/>
            <w:r w:rsidRPr="00C24C3A">
              <w:t>одгојно-образовне</w:t>
            </w:r>
            <w:proofErr w:type="spellEnd"/>
            <w:r w:rsidRPr="00C24C3A">
              <w:t xml:space="preserve"> </w:t>
            </w:r>
            <w:proofErr w:type="spellStart"/>
            <w:r w:rsidRPr="00C24C3A">
              <w:t>дјелатности</w:t>
            </w:r>
            <w:proofErr w:type="spellEnd"/>
            <w:r w:rsidRPr="00C24C3A">
              <w:t>.</w:t>
            </w:r>
          </w:p>
          <w:p w14:paraId="166EBE1A" w14:textId="325B1DA1" w:rsidR="002B5B75" w:rsidRPr="00C50951" w:rsidRDefault="002B5B75" w:rsidP="002B5B75"/>
        </w:tc>
      </w:tr>
      <w:tr w:rsidR="002B5B75" w14:paraId="2FB96E81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03E12D6D" w14:textId="7837D335" w:rsidR="002B5B75" w:rsidRDefault="002B5B75" w:rsidP="002B5B75">
            <w:r>
              <w:t>3.</w:t>
            </w:r>
          </w:p>
        </w:tc>
        <w:tc>
          <w:tcPr>
            <w:tcW w:w="3240" w:type="dxa"/>
            <w:vAlign w:val="center"/>
          </w:tcPr>
          <w:p w14:paraId="7098575B" w14:textId="4F871029" w:rsidR="002B5B75" w:rsidRDefault="008A5386" w:rsidP="002B5B75">
            <w:proofErr w:type="spellStart"/>
            <w:r w:rsidRPr="008D7232">
              <w:t>Укупна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вриједност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програм</w:t>
            </w:r>
            <w:r>
              <w:t>а</w:t>
            </w:r>
            <w:proofErr w:type="spellEnd"/>
            <w:r w:rsidRPr="008D7232">
              <w:t xml:space="preserve"> и </w:t>
            </w:r>
            <w:proofErr w:type="spellStart"/>
            <w:r w:rsidRPr="008D7232">
              <w:t>највиши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финансијски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износ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који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може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бити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додијељен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за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поједини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пројек</w:t>
            </w:r>
            <w:r>
              <w:t>а</w:t>
            </w:r>
            <w:r w:rsidRPr="008D7232">
              <w:t>т</w:t>
            </w:r>
            <w:proofErr w:type="spellEnd"/>
          </w:p>
        </w:tc>
        <w:tc>
          <w:tcPr>
            <w:tcW w:w="6390" w:type="dxa"/>
            <w:vAlign w:val="center"/>
          </w:tcPr>
          <w:p w14:paraId="6544B64D" w14:textId="77777777" w:rsidR="008A5386" w:rsidRDefault="008A5386" w:rsidP="001437B7">
            <w:proofErr w:type="spellStart"/>
            <w:r>
              <w:t>Укупна</w:t>
            </w:r>
            <w:proofErr w:type="spellEnd"/>
            <w:r>
              <w:t xml:space="preserve"> </w:t>
            </w:r>
            <w:proofErr w:type="spellStart"/>
            <w:r>
              <w:t>вриједност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>: 5</w:t>
            </w:r>
            <w:r w:rsidRPr="00C24C3A">
              <w:t>0.000,00 КМ.</w:t>
            </w:r>
          </w:p>
          <w:p w14:paraId="1812893B" w14:textId="77777777" w:rsidR="008A5386" w:rsidRDefault="008A5386" w:rsidP="001437B7"/>
          <w:p w14:paraId="1A276D6F" w14:textId="77777777" w:rsidR="008A5386" w:rsidRDefault="008A5386" w:rsidP="001437B7">
            <w:proofErr w:type="spellStart"/>
            <w:r>
              <w:t>Највиши</w:t>
            </w:r>
            <w:proofErr w:type="spellEnd"/>
            <w:r>
              <w:t xml:space="preserve"> </w:t>
            </w:r>
            <w:proofErr w:type="spellStart"/>
            <w:r>
              <w:t>износ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пројекту</w:t>
            </w:r>
            <w:proofErr w:type="spellEnd"/>
            <w:r>
              <w:t xml:space="preserve">: </w:t>
            </w:r>
            <w:r w:rsidRPr="00A12739">
              <w:t>10.000,00 КМ</w:t>
            </w:r>
          </w:p>
          <w:p w14:paraId="3EEB83BA" w14:textId="77777777" w:rsidR="002B5B75" w:rsidRDefault="002B5B75" w:rsidP="002B5B75">
            <w:pPr>
              <w:pStyle w:val="ListParagraph"/>
            </w:pPr>
          </w:p>
          <w:p w14:paraId="1F5C3712" w14:textId="77777777" w:rsidR="002B5B75" w:rsidRDefault="002B5B75" w:rsidP="00C24C3A">
            <w:pPr>
              <w:pStyle w:val="ListParagraph"/>
            </w:pPr>
          </w:p>
        </w:tc>
      </w:tr>
      <w:tr w:rsidR="00F12784" w14:paraId="02833640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0B725D56" w14:textId="363EEDC2" w:rsidR="00F12784" w:rsidRDefault="00F12784" w:rsidP="00F12784">
            <w:r>
              <w:t>4.</w:t>
            </w:r>
          </w:p>
        </w:tc>
        <w:tc>
          <w:tcPr>
            <w:tcW w:w="3240" w:type="dxa"/>
            <w:vAlign w:val="center"/>
          </w:tcPr>
          <w:p w14:paraId="3D735BAC" w14:textId="2C72AF53" w:rsidR="00F12784" w:rsidRPr="008D7232" w:rsidRDefault="008A5386" w:rsidP="00F12784">
            <w:proofErr w:type="spellStart"/>
            <w:r w:rsidRPr="008D7232">
              <w:t>Потенцијални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подносиоци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пријава</w:t>
            </w:r>
            <w:proofErr w:type="spellEnd"/>
            <w:r>
              <w:t xml:space="preserve"> (</w:t>
            </w:r>
            <w:proofErr w:type="spellStart"/>
            <w:r>
              <w:t>подносиоци</w:t>
            </w:r>
            <w:proofErr w:type="spellEnd"/>
            <w:r>
              <w:t xml:space="preserve"> </w:t>
            </w:r>
            <w:proofErr w:type="spellStart"/>
            <w:r>
              <w:t>пријава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могу</w:t>
            </w:r>
            <w:proofErr w:type="spellEnd"/>
            <w:r>
              <w:t xml:space="preserve"> </w:t>
            </w:r>
            <w:proofErr w:type="spellStart"/>
            <w:r>
              <w:t>бити</w:t>
            </w:r>
            <w:proofErr w:type="spellEnd"/>
            <w:r>
              <w:t xml:space="preserve"> </w:t>
            </w:r>
            <w:proofErr w:type="spellStart"/>
            <w:r>
              <w:t>корисници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у </w:t>
            </w:r>
            <w:proofErr w:type="spellStart"/>
            <w:r>
              <w:t>оквиру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реализује</w:t>
            </w:r>
            <w:proofErr w:type="spellEnd"/>
            <w:r>
              <w:t xml:space="preserve"> </w:t>
            </w:r>
            <w:proofErr w:type="spellStart"/>
            <w:r>
              <w:t>путем</w:t>
            </w:r>
            <w:proofErr w:type="spellEnd"/>
            <w:r>
              <w:t xml:space="preserve"> </w:t>
            </w:r>
            <w:proofErr w:type="spellStart"/>
            <w:r>
              <w:t>Сталног</w:t>
            </w:r>
            <w:proofErr w:type="spellEnd"/>
            <w:r>
              <w:t xml:space="preserve"> </w:t>
            </w:r>
            <w:proofErr w:type="spellStart"/>
            <w:r>
              <w:t>јавног</w:t>
            </w:r>
            <w:proofErr w:type="spellEnd"/>
            <w:r>
              <w:t xml:space="preserve"> </w:t>
            </w:r>
            <w:proofErr w:type="spellStart"/>
            <w:r>
              <w:t>позива</w:t>
            </w:r>
            <w:proofErr w:type="spellEnd"/>
            <w:r>
              <w:t>)</w:t>
            </w:r>
          </w:p>
        </w:tc>
        <w:tc>
          <w:tcPr>
            <w:tcW w:w="6390" w:type="dxa"/>
            <w:vAlign w:val="center"/>
          </w:tcPr>
          <w:p w14:paraId="0D90AE81" w14:textId="4AA4F2EE" w:rsidR="00892F08" w:rsidRPr="00C24C3A" w:rsidRDefault="008A5386" w:rsidP="00C24C3A">
            <w:pPr>
              <w:overflowPunct w:val="0"/>
              <w:autoSpaceDE w:val="0"/>
              <w:autoSpaceDN w:val="0"/>
              <w:adjustRightInd w:val="0"/>
              <w:jc w:val="both"/>
            </w:pPr>
            <w:proofErr w:type="spellStart"/>
            <w:r w:rsidRPr="00C24C3A">
              <w:t>Предшколске</w:t>
            </w:r>
            <w:proofErr w:type="spellEnd"/>
            <w:r w:rsidRPr="00C24C3A">
              <w:t xml:space="preserve"> </w:t>
            </w:r>
            <w:proofErr w:type="spellStart"/>
            <w:r w:rsidRPr="00C24C3A">
              <w:t>установе</w:t>
            </w:r>
            <w:proofErr w:type="spellEnd"/>
            <w:r w:rsidRPr="00C24C3A">
              <w:t xml:space="preserve">, </w:t>
            </w:r>
            <w:proofErr w:type="spellStart"/>
            <w:r w:rsidRPr="00C24C3A">
              <w:t>основне</w:t>
            </w:r>
            <w:proofErr w:type="spellEnd"/>
            <w:r w:rsidRPr="00C24C3A">
              <w:t xml:space="preserve"> и </w:t>
            </w:r>
            <w:proofErr w:type="spellStart"/>
            <w:r w:rsidRPr="00C24C3A">
              <w:t>средње</w:t>
            </w:r>
            <w:proofErr w:type="spellEnd"/>
            <w:r w:rsidRPr="00C24C3A">
              <w:t xml:space="preserve"> </w:t>
            </w:r>
            <w:proofErr w:type="spellStart"/>
            <w:r w:rsidRPr="00C24C3A">
              <w:t>школе</w:t>
            </w:r>
            <w:proofErr w:type="spellEnd"/>
            <w:r w:rsidRPr="00C24C3A">
              <w:t xml:space="preserve">, </w:t>
            </w:r>
            <w:proofErr w:type="spellStart"/>
            <w:r w:rsidRPr="00C24C3A">
              <w:t>педагошки</w:t>
            </w:r>
            <w:proofErr w:type="spellEnd"/>
            <w:r w:rsidRPr="00C24C3A">
              <w:t xml:space="preserve"> </w:t>
            </w:r>
            <w:proofErr w:type="spellStart"/>
            <w:r w:rsidRPr="00C24C3A">
              <w:t>заводи</w:t>
            </w:r>
            <w:proofErr w:type="spellEnd"/>
            <w:r w:rsidRPr="00C24C3A">
              <w:t xml:space="preserve"> (</w:t>
            </w:r>
            <w:proofErr w:type="spellStart"/>
            <w:r w:rsidRPr="00C24C3A">
              <w:t>или</w:t>
            </w:r>
            <w:proofErr w:type="spellEnd"/>
            <w:r w:rsidRPr="00C24C3A">
              <w:t xml:space="preserve"> </w:t>
            </w:r>
            <w:proofErr w:type="spellStart"/>
            <w:r w:rsidRPr="00C24C3A">
              <w:t>друге</w:t>
            </w:r>
            <w:proofErr w:type="spellEnd"/>
            <w:r w:rsidRPr="00C24C3A">
              <w:t xml:space="preserve"> </w:t>
            </w:r>
            <w:proofErr w:type="spellStart"/>
            <w:r w:rsidRPr="00C24C3A">
              <w:t>установе</w:t>
            </w:r>
            <w:proofErr w:type="spellEnd"/>
            <w:r w:rsidRPr="00C24C3A">
              <w:t xml:space="preserve"> </w:t>
            </w:r>
            <w:proofErr w:type="spellStart"/>
            <w:r w:rsidRPr="00C24C3A">
              <w:t>регистр</w:t>
            </w:r>
            <w:r>
              <w:t>оване</w:t>
            </w:r>
            <w:proofErr w:type="spellEnd"/>
            <w:r w:rsidRPr="00C24C3A">
              <w:t xml:space="preserve"> </w:t>
            </w:r>
            <w:proofErr w:type="spellStart"/>
            <w:r w:rsidRPr="00C24C3A">
              <w:t>за</w:t>
            </w:r>
            <w:proofErr w:type="spellEnd"/>
            <w:r w:rsidRPr="00C24C3A">
              <w:t xml:space="preserve"> </w:t>
            </w:r>
            <w:proofErr w:type="spellStart"/>
            <w:r w:rsidRPr="00C24C3A">
              <w:t>ову</w:t>
            </w:r>
            <w:proofErr w:type="spellEnd"/>
            <w:r w:rsidRPr="00C24C3A">
              <w:t xml:space="preserve"> </w:t>
            </w:r>
            <w:proofErr w:type="spellStart"/>
            <w:r w:rsidRPr="00C24C3A">
              <w:t>дјелатност</w:t>
            </w:r>
            <w:proofErr w:type="spellEnd"/>
            <w:r w:rsidRPr="00C24C3A">
              <w:t xml:space="preserve">), </w:t>
            </w:r>
            <w:proofErr w:type="spellStart"/>
            <w:r w:rsidRPr="00C24C3A">
              <w:t>стручне</w:t>
            </w:r>
            <w:proofErr w:type="spellEnd"/>
            <w:r w:rsidRPr="00C24C3A">
              <w:t xml:space="preserve"> </w:t>
            </w:r>
            <w:proofErr w:type="spellStart"/>
            <w:r w:rsidRPr="00C24C3A">
              <w:t>невладине</w:t>
            </w:r>
            <w:proofErr w:type="spellEnd"/>
            <w:r w:rsidRPr="00C24C3A">
              <w:t xml:space="preserve"> </w:t>
            </w:r>
            <w:proofErr w:type="spellStart"/>
            <w:r w:rsidRPr="00C24C3A">
              <w:t>организације</w:t>
            </w:r>
            <w:proofErr w:type="spellEnd"/>
            <w:r w:rsidRPr="00C24C3A">
              <w:t xml:space="preserve"> </w:t>
            </w:r>
            <w:proofErr w:type="spellStart"/>
            <w:r w:rsidRPr="00C24C3A">
              <w:t>које</w:t>
            </w:r>
            <w:proofErr w:type="spellEnd"/>
            <w:r w:rsidRPr="00C24C3A">
              <w:t xml:space="preserve"> </w:t>
            </w:r>
            <w:proofErr w:type="spellStart"/>
            <w:r w:rsidRPr="00C24C3A">
              <w:t>организ</w:t>
            </w:r>
            <w:r>
              <w:t>ују</w:t>
            </w:r>
            <w:proofErr w:type="spellEnd"/>
            <w:r w:rsidRPr="00C24C3A">
              <w:t xml:space="preserve"> </w:t>
            </w:r>
            <w:proofErr w:type="spellStart"/>
            <w:r w:rsidRPr="00C24C3A">
              <w:t>такмичења</w:t>
            </w:r>
            <w:proofErr w:type="spellEnd"/>
            <w:r w:rsidRPr="00C24C3A">
              <w:t xml:space="preserve"> </w:t>
            </w:r>
            <w:proofErr w:type="spellStart"/>
            <w:r w:rsidRPr="00C24C3A">
              <w:t>за</w:t>
            </w:r>
            <w:proofErr w:type="spellEnd"/>
            <w:r w:rsidRPr="00C24C3A">
              <w:t xml:space="preserve"> </w:t>
            </w:r>
            <w:proofErr w:type="spellStart"/>
            <w:r w:rsidRPr="00C24C3A">
              <w:t>неки</w:t>
            </w:r>
            <w:proofErr w:type="spellEnd"/>
            <w:r w:rsidRPr="00C24C3A">
              <w:t xml:space="preserve"> </w:t>
            </w:r>
            <w:proofErr w:type="spellStart"/>
            <w:r w:rsidRPr="00C24C3A">
              <w:t>од</w:t>
            </w:r>
            <w:proofErr w:type="spellEnd"/>
            <w:r w:rsidRPr="00C24C3A">
              <w:t xml:space="preserve"> </w:t>
            </w:r>
            <w:proofErr w:type="spellStart"/>
            <w:r w:rsidRPr="00C24C3A">
              <w:t>предмета</w:t>
            </w:r>
            <w:proofErr w:type="spellEnd"/>
            <w:r w:rsidRPr="00C24C3A">
              <w:t xml:space="preserve"> </w:t>
            </w:r>
            <w:proofErr w:type="spellStart"/>
            <w:r w:rsidRPr="00C24C3A">
              <w:t>из</w:t>
            </w:r>
            <w:proofErr w:type="spellEnd"/>
            <w:r w:rsidRPr="00C24C3A">
              <w:t xml:space="preserve"> </w:t>
            </w:r>
            <w:proofErr w:type="spellStart"/>
            <w:r w:rsidRPr="00C24C3A">
              <w:t>наставног</w:t>
            </w:r>
            <w:proofErr w:type="spellEnd"/>
            <w:r w:rsidRPr="00C24C3A">
              <w:t xml:space="preserve"> </w:t>
            </w:r>
            <w:proofErr w:type="spellStart"/>
            <w:r w:rsidRPr="00C24C3A">
              <w:t>плана</w:t>
            </w:r>
            <w:proofErr w:type="spellEnd"/>
            <w:r w:rsidRPr="00C24C3A">
              <w:t xml:space="preserve"> и </w:t>
            </w:r>
            <w:proofErr w:type="spellStart"/>
            <w:r w:rsidRPr="00C24C3A">
              <w:t>програма</w:t>
            </w:r>
            <w:proofErr w:type="spellEnd"/>
            <w:r w:rsidRPr="00C24C3A">
              <w:t xml:space="preserve"> </w:t>
            </w:r>
            <w:proofErr w:type="spellStart"/>
            <w:r w:rsidRPr="00C24C3A">
              <w:t>основних</w:t>
            </w:r>
            <w:proofErr w:type="spellEnd"/>
            <w:r w:rsidRPr="00C24C3A">
              <w:t xml:space="preserve"> </w:t>
            </w:r>
            <w:proofErr w:type="spellStart"/>
            <w:r w:rsidRPr="00C24C3A">
              <w:t>или</w:t>
            </w:r>
            <w:proofErr w:type="spellEnd"/>
            <w:r w:rsidRPr="00C24C3A">
              <w:t xml:space="preserve"> </w:t>
            </w:r>
            <w:proofErr w:type="spellStart"/>
            <w:r w:rsidRPr="00C24C3A">
              <w:t>средњих</w:t>
            </w:r>
            <w:proofErr w:type="spellEnd"/>
            <w:r w:rsidRPr="00C24C3A">
              <w:t xml:space="preserve"> </w:t>
            </w:r>
            <w:proofErr w:type="spellStart"/>
            <w:r w:rsidRPr="00C24C3A">
              <w:t>школа</w:t>
            </w:r>
            <w:proofErr w:type="spellEnd"/>
            <w:r>
              <w:t>.</w:t>
            </w:r>
          </w:p>
        </w:tc>
      </w:tr>
      <w:tr w:rsidR="00326233" w14:paraId="239065B7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42D60425" w14:textId="5134E2D2" w:rsidR="00326233" w:rsidRDefault="00326233" w:rsidP="00F12784">
            <w:r>
              <w:t>5.</w:t>
            </w:r>
          </w:p>
        </w:tc>
        <w:tc>
          <w:tcPr>
            <w:tcW w:w="3240" w:type="dxa"/>
            <w:vAlign w:val="center"/>
          </w:tcPr>
          <w:p w14:paraId="2769CECB" w14:textId="16066F16" w:rsidR="00326233" w:rsidRPr="008D7232" w:rsidRDefault="008A5386" w:rsidP="00F12784">
            <w:proofErr w:type="spellStart"/>
            <w:r>
              <w:t>Прихватљиве</w:t>
            </w:r>
            <w:proofErr w:type="spellEnd"/>
            <w:r>
              <w:t xml:space="preserve"> </w:t>
            </w:r>
            <w:proofErr w:type="spellStart"/>
            <w:r>
              <w:t>активности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провођење</w:t>
            </w:r>
            <w:proofErr w:type="spellEnd"/>
            <w:r>
              <w:t xml:space="preserve"> </w:t>
            </w:r>
            <w:proofErr w:type="spellStart"/>
            <w:r>
              <w:t>пројеката</w:t>
            </w:r>
            <w:proofErr w:type="spellEnd"/>
            <w:r>
              <w:t xml:space="preserve"> у </w:t>
            </w:r>
            <w:proofErr w:type="spellStart"/>
            <w:r>
              <w:t>оквиру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 xml:space="preserve"> </w:t>
            </w:r>
            <w:proofErr w:type="spellStart"/>
            <w:r>
              <w:t>Сталног</w:t>
            </w:r>
            <w:proofErr w:type="spellEnd"/>
            <w:r>
              <w:t xml:space="preserve"> </w:t>
            </w:r>
            <w:proofErr w:type="spellStart"/>
            <w:r>
              <w:t>јавног</w:t>
            </w:r>
            <w:proofErr w:type="spellEnd"/>
            <w:r>
              <w:t xml:space="preserve"> </w:t>
            </w:r>
            <w:proofErr w:type="spellStart"/>
            <w:r>
              <w:t>позива</w:t>
            </w:r>
            <w:proofErr w:type="spellEnd"/>
          </w:p>
        </w:tc>
        <w:tc>
          <w:tcPr>
            <w:tcW w:w="6390" w:type="dxa"/>
            <w:vAlign w:val="center"/>
          </w:tcPr>
          <w:p w14:paraId="212F02F0" w14:textId="10A6E88C" w:rsidR="00326233" w:rsidRPr="00326233" w:rsidRDefault="008A5386" w:rsidP="00326233">
            <w:r w:rsidRPr="00326233">
              <w:t xml:space="preserve">У </w:t>
            </w:r>
            <w:proofErr w:type="spellStart"/>
            <w:r w:rsidRPr="00326233">
              <w:t>тексту</w:t>
            </w:r>
            <w:proofErr w:type="spellEnd"/>
            <w:r w:rsidRPr="00326233">
              <w:t xml:space="preserve"> </w:t>
            </w:r>
            <w:proofErr w:type="spellStart"/>
            <w:r>
              <w:t>Сталног</w:t>
            </w:r>
            <w:proofErr w:type="spellEnd"/>
            <w:r>
              <w:t xml:space="preserve"> </w:t>
            </w:r>
            <w:proofErr w:type="spellStart"/>
            <w:r>
              <w:t>ј</w:t>
            </w:r>
            <w:r w:rsidRPr="00326233">
              <w:t>авног</w:t>
            </w:r>
            <w:proofErr w:type="spellEnd"/>
            <w:r w:rsidRPr="00326233">
              <w:t xml:space="preserve"> </w:t>
            </w:r>
            <w:proofErr w:type="spellStart"/>
            <w:r w:rsidRPr="00326233">
              <w:t>позива</w:t>
            </w:r>
            <w:proofErr w:type="spellEnd"/>
            <w:r w:rsidRPr="00326233">
              <w:t xml:space="preserve"> </w:t>
            </w:r>
            <w:proofErr w:type="spellStart"/>
            <w:r w:rsidRPr="00326233">
              <w:t>су</w:t>
            </w:r>
            <w:proofErr w:type="spellEnd"/>
            <w:r w:rsidRPr="00326233">
              <w:t xml:space="preserve"> </w:t>
            </w:r>
            <w:proofErr w:type="spellStart"/>
            <w:r w:rsidRPr="00326233">
              <w:t>наведени</w:t>
            </w:r>
            <w:proofErr w:type="spellEnd"/>
            <w:r w:rsidRPr="00326233">
              <w:t xml:space="preserve"> </w:t>
            </w:r>
            <w:proofErr w:type="spellStart"/>
            <w:r w:rsidRPr="00326233">
              <w:t>критерији</w:t>
            </w:r>
            <w:proofErr w:type="spellEnd"/>
            <w:r w:rsidRPr="00326233">
              <w:t xml:space="preserve">, а </w:t>
            </w:r>
            <w:proofErr w:type="spellStart"/>
            <w:r w:rsidRPr="00326233">
              <w:t>испод</w:t>
            </w:r>
            <w:proofErr w:type="spellEnd"/>
            <w:r w:rsidRPr="00326233">
              <w:t xml:space="preserve"> </w:t>
            </w:r>
            <w:proofErr w:type="spellStart"/>
            <w:r w:rsidRPr="00326233">
              <w:t>критерија</w:t>
            </w:r>
            <w:proofErr w:type="spellEnd"/>
            <w:r w:rsidRPr="00326233">
              <w:t xml:space="preserve"> и </w:t>
            </w:r>
            <w:proofErr w:type="spellStart"/>
            <w:r w:rsidRPr="00326233">
              <w:t>врст</w:t>
            </w:r>
            <w:r>
              <w:t>а</w:t>
            </w:r>
            <w:proofErr w:type="spellEnd"/>
            <w:r w:rsidRPr="00326233">
              <w:t xml:space="preserve"> </w:t>
            </w:r>
            <w:proofErr w:type="spellStart"/>
            <w:r w:rsidRPr="00326233">
              <w:t>пројеката</w:t>
            </w:r>
            <w:proofErr w:type="spellEnd"/>
            <w:r w:rsidRPr="00326233">
              <w:t xml:space="preserve"> </w:t>
            </w:r>
            <w:proofErr w:type="spellStart"/>
            <w:r w:rsidRPr="00326233">
              <w:t>или</w:t>
            </w:r>
            <w:proofErr w:type="spellEnd"/>
            <w:r w:rsidRPr="00326233">
              <w:t xml:space="preserve"> </w:t>
            </w:r>
            <w:proofErr w:type="spellStart"/>
            <w:r w:rsidRPr="00326233">
              <w:t>активности</w:t>
            </w:r>
            <w:proofErr w:type="spellEnd"/>
            <w:r w:rsidRPr="00326233">
              <w:t xml:space="preserve"> </w:t>
            </w:r>
            <w:proofErr w:type="spellStart"/>
            <w:r w:rsidRPr="00326233">
              <w:t>за</w:t>
            </w:r>
            <w:proofErr w:type="spellEnd"/>
            <w:r w:rsidRPr="00326233">
              <w:t xml:space="preserve"> </w:t>
            </w:r>
            <w:proofErr w:type="spellStart"/>
            <w:r w:rsidRPr="00326233">
              <w:t>коју</w:t>
            </w:r>
            <w:proofErr w:type="spellEnd"/>
            <w:r w:rsidRPr="00326233">
              <w:t xml:space="preserve"> </w:t>
            </w:r>
            <w:proofErr w:type="spellStart"/>
            <w:r w:rsidRPr="00326233">
              <w:t>је</w:t>
            </w:r>
            <w:proofErr w:type="spellEnd"/>
            <w:r w:rsidRPr="00326233">
              <w:t xml:space="preserve"> </w:t>
            </w:r>
            <w:proofErr w:type="spellStart"/>
            <w:r w:rsidRPr="00326233">
              <w:t>програм</w:t>
            </w:r>
            <w:proofErr w:type="spellEnd"/>
            <w:r w:rsidRPr="00326233">
              <w:t xml:space="preserve"> </w:t>
            </w:r>
            <w:proofErr w:type="spellStart"/>
            <w:r w:rsidRPr="00326233">
              <w:t>намијењен</w:t>
            </w:r>
            <w:proofErr w:type="spellEnd"/>
            <w:r w:rsidRPr="00326233">
              <w:t>.</w:t>
            </w:r>
          </w:p>
        </w:tc>
      </w:tr>
      <w:tr w:rsidR="00982C39" w14:paraId="2235D42D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0E799CA0" w14:textId="1AA4677F" w:rsidR="00982C39" w:rsidRDefault="00982C39" w:rsidP="00982C39">
            <w:r>
              <w:t>6.</w:t>
            </w:r>
          </w:p>
        </w:tc>
        <w:tc>
          <w:tcPr>
            <w:tcW w:w="3240" w:type="dxa"/>
            <w:vAlign w:val="center"/>
          </w:tcPr>
          <w:p w14:paraId="6A7A4DAF" w14:textId="2E7F0BEC" w:rsidR="00982C39" w:rsidRDefault="008A5386" w:rsidP="00982C39">
            <w:proofErr w:type="spellStart"/>
            <w:r w:rsidRPr="008D7232">
              <w:t>Неприхватљиви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трошкови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који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се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не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могу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финансирати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додијељеним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средствима</w:t>
            </w:r>
            <w:proofErr w:type="spellEnd"/>
          </w:p>
        </w:tc>
        <w:tc>
          <w:tcPr>
            <w:tcW w:w="6390" w:type="dxa"/>
            <w:vAlign w:val="center"/>
          </w:tcPr>
          <w:p w14:paraId="71032F2D" w14:textId="744F8192" w:rsidR="00982C39" w:rsidRPr="00326233" w:rsidRDefault="008A5386" w:rsidP="00982C39">
            <w:proofErr w:type="spellStart"/>
            <w:r>
              <w:t>П</w:t>
            </w:r>
            <w:r w:rsidRPr="008D7232">
              <w:t>лате</w:t>
            </w:r>
            <w:proofErr w:type="spellEnd"/>
            <w:r w:rsidRPr="008D7232">
              <w:t xml:space="preserve"> и </w:t>
            </w:r>
            <w:proofErr w:type="spellStart"/>
            <w:r w:rsidRPr="008D7232">
              <w:t>накнаде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трошкова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запосленика</w:t>
            </w:r>
            <w:proofErr w:type="spellEnd"/>
            <w:r w:rsidR="00982C39" w:rsidRPr="008D7232">
              <w:t>.</w:t>
            </w:r>
          </w:p>
        </w:tc>
      </w:tr>
      <w:tr w:rsidR="00982C39" w14:paraId="7DCB6034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5012F6BE" w14:textId="5DD413BC" w:rsidR="00982C39" w:rsidRDefault="00982C39" w:rsidP="00982C39">
            <w:r>
              <w:t>7.</w:t>
            </w:r>
          </w:p>
        </w:tc>
        <w:tc>
          <w:tcPr>
            <w:tcW w:w="3240" w:type="dxa"/>
            <w:vAlign w:val="center"/>
          </w:tcPr>
          <w:p w14:paraId="0290AD92" w14:textId="414CDEBA" w:rsidR="00982C39" w:rsidRPr="008D7232" w:rsidRDefault="003B3437" w:rsidP="00982C39">
            <w:proofErr w:type="spellStart"/>
            <w:r w:rsidRPr="00C50951">
              <w:t>Правила</w:t>
            </w:r>
            <w:proofErr w:type="spellEnd"/>
            <w:r w:rsidRPr="00C50951">
              <w:t xml:space="preserve"> </w:t>
            </w:r>
            <w:proofErr w:type="spellStart"/>
            <w:r w:rsidRPr="00C50951">
              <w:t>видљивости</w:t>
            </w:r>
            <w:proofErr w:type="spellEnd"/>
            <w:r w:rsidRPr="00C50951">
              <w:t xml:space="preserve"> (</w:t>
            </w:r>
            <w:proofErr w:type="spellStart"/>
            <w:r w:rsidRPr="00C50951">
              <w:t>промоција</w:t>
            </w:r>
            <w:proofErr w:type="spellEnd"/>
            <w:r w:rsidRPr="00C50951">
              <w:t xml:space="preserve"> </w:t>
            </w:r>
            <w:proofErr w:type="spellStart"/>
            <w:r w:rsidRPr="00C50951">
              <w:t>програма</w:t>
            </w:r>
            <w:proofErr w:type="spellEnd"/>
            <w:r w:rsidRPr="00C50951">
              <w:t xml:space="preserve">, </w:t>
            </w:r>
            <w:proofErr w:type="spellStart"/>
            <w:r w:rsidRPr="00C50951">
              <w:t>пројеката</w:t>
            </w:r>
            <w:proofErr w:type="spellEnd"/>
            <w:r w:rsidRPr="00C50951">
              <w:t xml:space="preserve"> и </w:t>
            </w:r>
            <w:proofErr w:type="spellStart"/>
            <w:r w:rsidRPr="00C50951">
              <w:t>резултата</w:t>
            </w:r>
            <w:proofErr w:type="spellEnd"/>
            <w:r w:rsidRPr="00C50951">
              <w:t xml:space="preserve">) </w:t>
            </w:r>
            <w:proofErr w:type="spellStart"/>
            <w:r w:rsidRPr="00C50951">
              <w:t>која</w:t>
            </w:r>
            <w:proofErr w:type="spellEnd"/>
            <w:r w:rsidRPr="00C50951">
              <w:t xml:space="preserve"> </w:t>
            </w:r>
            <w:proofErr w:type="spellStart"/>
            <w:r w:rsidRPr="00C50951">
              <w:t>се</w:t>
            </w:r>
            <w:proofErr w:type="spellEnd"/>
            <w:r w:rsidRPr="00C50951">
              <w:t xml:space="preserve"> </w:t>
            </w:r>
            <w:proofErr w:type="spellStart"/>
            <w:r w:rsidRPr="00C50951">
              <w:t>требају</w:t>
            </w:r>
            <w:proofErr w:type="spellEnd"/>
            <w:r w:rsidRPr="00C50951">
              <w:t xml:space="preserve"> </w:t>
            </w:r>
            <w:proofErr w:type="spellStart"/>
            <w:r w:rsidRPr="00C50951">
              <w:t>поштовати</w:t>
            </w:r>
            <w:proofErr w:type="spellEnd"/>
            <w:r w:rsidRPr="00C50951">
              <w:t xml:space="preserve"> у </w:t>
            </w:r>
            <w:proofErr w:type="spellStart"/>
            <w:r w:rsidRPr="00C50951">
              <w:t>провођењу</w:t>
            </w:r>
            <w:proofErr w:type="spellEnd"/>
            <w:r w:rsidRPr="00C50951">
              <w:t xml:space="preserve"> </w:t>
            </w:r>
            <w:proofErr w:type="spellStart"/>
            <w:r w:rsidRPr="00C50951">
              <w:t>програма</w:t>
            </w:r>
            <w:proofErr w:type="spellEnd"/>
            <w:r w:rsidRPr="00C50951">
              <w:t xml:space="preserve"> </w:t>
            </w:r>
            <w:proofErr w:type="spellStart"/>
            <w:r w:rsidRPr="00C50951">
              <w:t>или</w:t>
            </w:r>
            <w:proofErr w:type="spellEnd"/>
            <w:r w:rsidRPr="00C50951">
              <w:t xml:space="preserve"> </w:t>
            </w:r>
            <w:proofErr w:type="spellStart"/>
            <w:r w:rsidRPr="00C50951">
              <w:t>пројекта</w:t>
            </w:r>
            <w:proofErr w:type="spellEnd"/>
          </w:p>
        </w:tc>
        <w:tc>
          <w:tcPr>
            <w:tcW w:w="6390" w:type="dxa"/>
            <w:vAlign w:val="center"/>
          </w:tcPr>
          <w:p w14:paraId="4C330FF2" w14:textId="412FD86E" w:rsidR="00982C39" w:rsidRPr="00C50951" w:rsidRDefault="003B3437" w:rsidP="00982C39">
            <w:pPr>
              <w:spacing w:line="256" w:lineRule="auto"/>
              <w:contextualSpacing/>
              <w:rPr>
                <w:rFonts w:ascii="Calibri" w:eastAsia="Calibri" w:hAnsi="Calibri" w:cs="Times New Roman"/>
              </w:rPr>
            </w:pPr>
            <w:r w:rsidRPr="00C50951">
              <w:rPr>
                <w:rFonts w:ascii="Calibri" w:eastAsia="Calibri" w:hAnsi="Calibri" w:cs="Times New Roman"/>
              </w:rPr>
              <w:t xml:space="preserve">У </w:t>
            </w:r>
            <w:proofErr w:type="spellStart"/>
            <w:r w:rsidRPr="00C50951">
              <w:rPr>
                <w:rFonts w:ascii="Calibri" w:eastAsia="Calibri" w:hAnsi="Calibri" w:cs="Times New Roman"/>
              </w:rPr>
              <w:t>реализацији</w:t>
            </w:r>
            <w:proofErr w:type="spellEnd"/>
            <w:r w:rsidRPr="00C5095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C50951">
              <w:rPr>
                <w:rFonts w:ascii="Calibri" w:eastAsia="Calibri" w:hAnsi="Calibri" w:cs="Times New Roman"/>
              </w:rPr>
              <w:t>свих</w:t>
            </w:r>
            <w:proofErr w:type="spellEnd"/>
            <w:r w:rsidRPr="00C5095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C50951">
              <w:rPr>
                <w:rFonts w:ascii="Calibri" w:eastAsia="Calibri" w:hAnsi="Calibri" w:cs="Times New Roman"/>
              </w:rPr>
              <w:t>пројектних</w:t>
            </w:r>
            <w:proofErr w:type="spellEnd"/>
            <w:r w:rsidRPr="00C5095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C50951">
              <w:rPr>
                <w:rFonts w:ascii="Calibri" w:eastAsia="Calibri" w:hAnsi="Calibri" w:cs="Times New Roman"/>
              </w:rPr>
              <w:t>активности</w:t>
            </w:r>
            <w:proofErr w:type="spellEnd"/>
            <w:r w:rsidRPr="00C50951">
              <w:rPr>
                <w:rFonts w:ascii="Calibri" w:eastAsia="Calibri" w:hAnsi="Calibri" w:cs="Times New Roman"/>
              </w:rPr>
              <w:t xml:space="preserve">, а </w:t>
            </w:r>
            <w:proofErr w:type="spellStart"/>
            <w:r w:rsidRPr="00C50951">
              <w:rPr>
                <w:rFonts w:ascii="Calibri" w:eastAsia="Calibri" w:hAnsi="Calibri" w:cs="Times New Roman"/>
              </w:rPr>
              <w:t>посебно</w:t>
            </w:r>
            <w:proofErr w:type="spellEnd"/>
            <w:r w:rsidRPr="00C5095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C50951">
              <w:rPr>
                <w:rFonts w:ascii="Calibri" w:eastAsia="Calibri" w:hAnsi="Calibri" w:cs="Times New Roman"/>
              </w:rPr>
              <w:t>активности</w:t>
            </w:r>
            <w:proofErr w:type="spellEnd"/>
            <w:r w:rsidRPr="00C5095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C50951">
              <w:rPr>
                <w:rFonts w:ascii="Calibri" w:eastAsia="Calibri" w:hAnsi="Calibri" w:cs="Times New Roman"/>
              </w:rPr>
              <w:t>које</w:t>
            </w:r>
            <w:proofErr w:type="spellEnd"/>
            <w:r w:rsidRPr="00C5095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C50951">
              <w:rPr>
                <w:rFonts w:ascii="Calibri" w:eastAsia="Calibri" w:hAnsi="Calibri" w:cs="Times New Roman"/>
              </w:rPr>
              <w:t>се</w:t>
            </w:r>
            <w:proofErr w:type="spellEnd"/>
            <w:r w:rsidRPr="00C5095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C50951">
              <w:rPr>
                <w:rFonts w:ascii="Calibri" w:eastAsia="Calibri" w:hAnsi="Calibri" w:cs="Times New Roman"/>
              </w:rPr>
              <w:t>односе</w:t>
            </w:r>
            <w:proofErr w:type="spellEnd"/>
            <w:r w:rsidRPr="00C5095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C50951">
              <w:rPr>
                <w:rFonts w:ascii="Calibri" w:eastAsia="Calibri" w:hAnsi="Calibri" w:cs="Times New Roman"/>
              </w:rPr>
              <w:t>на</w:t>
            </w:r>
            <w:proofErr w:type="spellEnd"/>
            <w:r w:rsidRPr="00C5095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C50951">
              <w:rPr>
                <w:rFonts w:ascii="Calibri" w:eastAsia="Calibri" w:hAnsi="Calibri" w:cs="Times New Roman"/>
              </w:rPr>
              <w:t>презент</w:t>
            </w:r>
            <w:r>
              <w:rPr>
                <w:rFonts w:ascii="Calibri" w:eastAsia="Calibri" w:hAnsi="Calibri" w:cs="Times New Roman"/>
              </w:rPr>
              <w:t>овање</w:t>
            </w:r>
            <w:proofErr w:type="spellEnd"/>
            <w:r w:rsidRPr="00C50951">
              <w:rPr>
                <w:rFonts w:ascii="Calibri" w:eastAsia="Calibri" w:hAnsi="Calibri" w:cs="Times New Roman"/>
              </w:rPr>
              <w:t xml:space="preserve"> и </w:t>
            </w:r>
            <w:proofErr w:type="spellStart"/>
            <w:r w:rsidRPr="00C50951">
              <w:rPr>
                <w:rFonts w:ascii="Calibri" w:eastAsia="Calibri" w:hAnsi="Calibri" w:cs="Times New Roman"/>
              </w:rPr>
              <w:t>промоцију</w:t>
            </w:r>
            <w:proofErr w:type="spellEnd"/>
            <w:r w:rsidRPr="00C5095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C50951">
              <w:rPr>
                <w:rFonts w:ascii="Calibri" w:eastAsia="Calibri" w:hAnsi="Calibri" w:cs="Times New Roman"/>
              </w:rPr>
              <w:t>резултата</w:t>
            </w:r>
            <w:proofErr w:type="spellEnd"/>
            <w:r w:rsidRPr="00C5095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C50951">
              <w:rPr>
                <w:rFonts w:ascii="Calibri" w:eastAsia="Calibri" w:hAnsi="Calibri" w:cs="Times New Roman"/>
              </w:rPr>
              <w:t>пројекта</w:t>
            </w:r>
            <w:proofErr w:type="spellEnd"/>
            <w:r w:rsidRPr="00C50951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C50951">
              <w:rPr>
                <w:rFonts w:ascii="Calibri" w:eastAsia="Calibri" w:hAnsi="Calibri" w:cs="Times New Roman"/>
              </w:rPr>
              <w:t>обавезно</w:t>
            </w:r>
            <w:proofErr w:type="spellEnd"/>
            <w:r w:rsidRPr="00C5095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C50951">
              <w:rPr>
                <w:rFonts w:ascii="Calibri" w:eastAsia="Calibri" w:hAnsi="Calibri" w:cs="Times New Roman"/>
              </w:rPr>
              <w:t>назначити</w:t>
            </w:r>
            <w:proofErr w:type="spellEnd"/>
            <w:r w:rsidRPr="00C5095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C50951">
              <w:rPr>
                <w:rFonts w:ascii="Calibri" w:eastAsia="Calibri" w:hAnsi="Calibri" w:cs="Times New Roman"/>
              </w:rPr>
              <w:t>да</w:t>
            </w:r>
            <w:proofErr w:type="spellEnd"/>
            <w:r w:rsidRPr="00C5095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C50951">
              <w:rPr>
                <w:rFonts w:ascii="Calibri" w:eastAsia="Calibri" w:hAnsi="Calibri" w:cs="Times New Roman"/>
              </w:rPr>
              <w:t>је</w:t>
            </w:r>
            <w:proofErr w:type="spellEnd"/>
            <w:r w:rsidRPr="00C5095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Федерално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м</w:t>
            </w:r>
            <w:r w:rsidRPr="00C50951">
              <w:rPr>
                <w:rFonts w:ascii="Calibri" w:eastAsia="Calibri" w:hAnsi="Calibri" w:cs="Times New Roman"/>
              </w:rPr>
              <w:t>инистарство</w:t>
            </w:r>
            <w:proofErr w:type="spellEnd"/>
            <w:r w:rsidRPr="00C5095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образовања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и </w:t>
            </w:r>
            <w:proofErr w:type="spellStart"/>
            <w:r>
              <w:rPr>
                <w:rFonts w:ascii="Calibri" w:eastAsia="Calibri" w:hAnsi="Calibri" w:cs="Times New Roman"/>
              </w:rPr>
              <w:t>науке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C50951">
              <w:rPr>
                <w:rFonts w:ascii="Calibri" w:eastAsia="Calibri" w:hAnsi="Calibri" w:cs="Times New Roman"/>
              </w:rPr>
              <w:t>финансирало</w:t>
            </w:r>
            <w:proofErr w:type="spellEnd"/>
            <w:r w:rsidRPr="00C50951">
              <w:rPr>
                <w:rFonts w:ascii="Calibri" w:eastAsia="Calibri" w:hAnsi="Calibri" w:cs="Times New Roman"/>
              </w:rPr>
              <w:t>/</w:t>
            </w:r>
            <w:proofErr w:type="spellStart"/>
            <w:r w:rsidRPr="00C50951">
              <w:rPr>
                <w:rFonts w:ascii="Calibri" w:eastAsia="Calibri" w:hAnsi="Calibri" w:cs="Times New Roman"/>
              </w:rPr>
              <w:t>суфинансирало</w:t>
            </w:r>
            <w:proofErr w:type="spellEnd"/>
            <w:r w:rsidRPr="00C5095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C50951">
              <w:rPr>
                <w:rFonts w:ascii="Calibri" w:eastAsia="Calibri" w:hAnsi="Calibri" w:cs="Times New Roman"/>
              </w:rPr>
              <w:t>пројекат</w:t>
            </w:r>
            <w:proofErr w:type="spellEnd"/>
            <w:r w:rsidRPr="00C50951">
              <w:rPr>
                <w:rFonts w:ascii="Calibri" w:eastAsia="Calibri" w:hAnsi="Calibri" w:cs="Times New Roman"/>
              </w:rPr>
              <w:t>.</w:t>
            </w:r>
          </w:p>
          <w:p w14:paraId="035F65A7" w14:textId="77777777" w:rsidR="00982C39" w:rsidRDefault="00982C39" w:rsidP="00982C39"/>
        </w:tc>
      </w:tr>
      <w:tr w:rsidR="00982C39" w14:paraId="40A05C41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3BF15D4F" w14:textId="7C559324" w:rsidR="00982C39" w:rsidRDefault="00982C39" w:rsidP="00982C39">
            <w:r>
              <w:t>8.</w:t>
            </w:r>
          </w:p>
        </w:tc>
        <w:tc>
          <w:tcPr>
            <w:tcW w:w="3240" w:type="dxa"/>
            <w:vAlign w:val="center"/>
          </w:tcPr>
          <w:p w14:paraId="3595714C" w14:textId="704AE3CD" w:rsidR="00982C39" w:rsidRPr="008D7232" w:rsidRDefault="003B3437" w:rsidP="00982C39">
            <w:proofErr w:type="spellStart"/>
            <w:r w:rsidRPr="008D7232">
              <w:t>Захтјев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за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финансирање</w:t>
            </w:r>
            <w:proofErr w:type="spellEnd"/>
            <w:r w:rsidRPr="008D7232">
              <w:t>/</w:t>
            </w:r>
            <w:proofErr w:type="spellStart"/>
            <w:r w:rsidRPr="008D7232">
              <w:t>суфинансирање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пројекта</w:t>
            </w:r>
            <w:proofErr w:type="spellEnd"/>
            <w:r w:rsidRPr="008D7232">
              <w:t xml:space="preserve"> – </w:t>
            </w:r>
            <w:proofErr w:type="spellStart"/>
            <w:r w:rsidRPr="008D7232">
              <w:t>образац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Захтјева</w:t>
            </w:r>
            <w:proofErr w:type="spellEnd"/>
          </w:p>
        </w:tc>
        <w:tc>
          <w:tcPr>
            <w:tcW w:w="6390" w:type="dxa"/>
            <w:vAlign w:val="center"/>
          </w:tcPr>
          <w:p w14:paraId="41284308" w14:textId="3CF5E1DC" w:rsidR="00982C39" w:rsidRDefault="003B3437" w:rsidP="00982C39">
            <w:proofErr w:type="spellStart"/>
            <w:r w:rsidRPr="00846476">
              <w:t>Захтјев</w:t>
            </w:r>
            <w:proofErr w:type="spellEnd"/>
            <w:r w:rsidRPr="00846476">
              <w:t xml:space="preserve"> </w:t>
            </w:r>
            <w:proofErr w:type="spellStart"/>
            <w:r w:rsidRPr="00846476">
              <w:t>за</w:t>
            </w:r>
            <w:proofErr w:type="spellEnd"/>
            <w:r w:rsidRPr="00846476">
              <w:t xml:space="preserve"> </w:t>
            </w:r>
            <w:proofErr w:type="spellStart"/>
            <w:r w:rsidRPr="00846476">
              <w:t>финансирање</w:t>
            </w:r>
            <w:proofErr w:type="spellEnd"/>
            <w:r w:rsidRPr="00846476">
              <w:t>/</w:t>
            </w:r>
            <w:proofErr w:type="spellStart"/>
            <w:r w:rsidRPr="00846476">
              <w:t>суфинансирање</w:t>
            </w:r>
            <w:proofErr w:type="spellEnd"/>
            <w:r w:rsidRPr="00846476">
              <w:t xml:space="preserve"> </w:t>
            </w:r>
            <w:proofErr w:type="spellStart"/>
            <w:r w:rsidRPr="00846476">
              <w:t>пројекта</w:t>
            </w:r>
            <w:proofErr w:type="spellEnd"/>
            <w:r w:rsidRPr="00846476">
              <w:t xml:space="preserve"> </w:t>
            </w:r>
            <w:proofErr w:type="spellStart"/>
            <w:r w:rsidRPr="00846476">
              <w:t>треба</w:t>
            </w:r>
            <w:proofErr w:type="spellEnd"/>
            <w:r>
              <w:t xml:space="preserve"> у </w:t>
            </w:r>
            <w:proofErr w:type="spellStart"/>
            <w:r>
              <w:t>потпуности</w:t>
            </w:r>
            <w:proofErr w:type="spellEnd"/>
            <w:r w:rsidRPr="00846476">
              <w:t xml:space="preserve"> </w:t>
            </w:r>
            <w:proofErr w:type="spellStart"/>
            <w:r w:rsidRPr="00846476">
              <w:t>попунити</w:t>
            </w:r>
            <w:proofErr w:type="spellEnd"/>
            <w:r w:rsidRPr="00846476">
              <w:t xml:space="preserve"> </w:t>
            </w:r>
            <w:proofErr w:type="spellStart"/>
            <w:r w:rsidRPr="00846476">
              <w:t>на</w:t>
            </w:r>
            <w:proofErr w:type="spellEnd"/>
            <w:r w:rsidRPr="00846476">
              <w:t xml:space="preserve"> </w:t>
            </w:r>
            <w:proofErr w:type="spellStart"/>
            <w:r w:rsidRPr="00846476">
              <w:t>обрасцу</w:t>
            </w:r>
            <w:proofErr w:type="spellEnd"/>
            <w:r>
              <w:t xml:space="preserve"> </w:t>
            </w:r>
            <w:proofErr w:type="spellStart"/>
            <w:r>
              <w:t>Захтјева</w:t>
            </w:r>
            <w:proofErr w:type="spellEnd"/>
            <w:r>
              <w:t xml:space="preserve">. </w:t>
            </w:r>
            <w:proofErr w:type="spellStart"/>
            <w:r>
              <w:t>Захтјев</w:t>
            </w:r>
            <w:proofErr w:type="spellEnd"/>
            <w:r>
              <w:t xml:space="preserve"> </w:t>
            </w:r>
            <w:proofErr w:type="spellStart"/>
            <w:r>
              <w:t>треба</w:t>
            </w:r>
            <w:proofErr w:type="spellEnd"/>
            <w:r>
              <w:t xml:space="preserve"> </w:t>
            </w:r>
            <w:proofErr w:type="spellStart"/>
            <w:r>
              <w:t>обавезно</w:t>
            </w:r>
            <w:proofErr w:type="spellEnd"/>
            <w:r>
              <w:t xml:space="preserve"> </w:t>
            </w:r>
            <w:proofErr w:type="spellStart"/>
            <w:r>
              <w:t>потписати</w:t>
            </w:r>
            <w:proofErr w:type="spellEnd"/>
            <w:r>
              <w:t xml:space="preserve"> </w:t>
            </w:r>
            <w:proofErr w:type="spellStart"/>
            <w:r>
              <w:t>овлаштена</w:t>
            </w:r>
            <w:proofErr w:type="spellEnd"/>
            <w:r>
              <w:t xml:space="preserve"> </w:t>
            </w:r>
            <w:proofErr w:type="spellStart"/>
            <w:r>
              <w:t>особа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заступање</w:t>
            </w:r>
            <w:proofErr w:type="spellEnd"/>
            <w:r>
              <w:t xml:space="preserve">, </w:t>
            </w:r>
            <w:proofErr w:type="spellStart"/>
            <w:r>
              <w:t>те</w:t>
            </w:r>
            <w:proofErr w:type="spellEnd"/>
            <w:r>
              <w:t xml:space="preserve"> </w:t>
            </w:r>
            <w:proofErr w:type="spellStart"/>
            <w:r>
              <w:t>овјерити</w:t>
            </w:r>
            <w:proofErr w:type="spellEnd"/>
            <w:r>
              <w:t xml:space="preserve"> </w:t>
            </w:r>
            <w:proofErr w:type="spellStart"/>
            <w:r>
              <w:t>исти</w:t>
            </w:r>
            <w:proofErr w:type="spellEnd"/>
            <w:r>
              <w:t xml:space="preserve"> </w:t>
            </w:r>
            <w:proofErr w:type="spellStart"/>
            <w:r>
              <w:t>печатом</w:t>
            </w:r>
            <w:proofErr w:type="spellEnd"/>
            <w:r>
              <w:t xml:space="preserve"> </w:t>
            </w:r>
            <w:proofErr w:type="spellStart"/>
            <w:r>
              <w:t>подносиоца</w:t>
            </w:r>
            <w:proofErr w:type="spellEnd"/>
            <w:r>
              <w:t xml:space="preserve"> </w:t>
            </w:r>
            <w:proofErr w:type="spellStart"/>
            <w:r>
              <w:t>захтјева</w:t>
            </w:r>
            <w:proofErr w:type="spellEnd"/>
            <w:r>
              <w:t xml:space="preserve"> (</w:t>
            </w:r>
            <w:proofErr w:type="spellStart"/>
            <w:r>
              <w:t>установе</w:t>
            </w:r>
            <w:proofErr w:type="spellEnd"/>
            <w:r>
              <w:t xml:space="preserve">, </w:t>
            </w:r>
            <w:proofErr w:type="spellStart"/>
            <w:r>
              <w:t>удружење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др</w:t>
            </w:r>
            <w:proofErr w:type="spellEnd"/>
            <w:r>
              <w:t xml:space="preserve">. </w:t>
            </w:r>
            <w:proofErr w:type="spellStart"/>
            <w:r>
              <w:t>организације</w:t>
            </w:r>
            <w:proofErr w:type="spellEnd"/>
            <w:r>
              <w:t xml:space="preserve"> </w:t>
            </w:r>
            <w:proofErr w:type="spellStart"/>
            <w:r>
              <w:t>која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подносилац</w:t>
            </w:r>
            <w:proofErr w:type="spellEnd"/>
            <w:r>
              <w:t xml:space="preserve"> </w:t>
            </w:r>
            <w:proofErr w:type="spellStart"/>
            <w:r>
              <w:t>захтјева</w:t>
            </w:r>
            <w:proofErr w:type="spellEnd"/>
            <w:r>
              <w:t xml:space="preserve">). </w:t>
            </w:r>
            <w:proofErr w:type="spellStart"/>
            <w:r>
              <w:t>Ставити</w:t>
            </w:r>
            <w:proofErr w:type="spellEnd"/>
            <w:r>
              <w:t xml:space="preserve"> </w:t>
            </w:r>
            <w:proofErr w:type="spellStart"/>
            <w:r>
              <w:t>датум</w:t>
            </w:r>
            <w:proofErr w:type="spellEnd"/>
            <w:r>
              <w:t xml:space="preserve"> </w:t>
            </w:r>
            <w:proofErr w:type="spellStart"/>
            <w:r>
              <w:t>подношења</w:t>
            </w:r>
            <w:proofErr w:type="spellEnd"/>
            <w:r>
              <w:t xml:space="preserve"> </w:t>
            </w:r>
            <w:proofErr w:type="spellStart"/>
            <w:r>
              <w:t>пријаве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одговарајуће</w:t>
            </w:r>
            <w:proofErr w:type="spellEnd"/>
            <w:r>
              <w:t xml:space="preserve"> </w:t>
            </w:r>
            <w:proofErr w:type="spellStart"/>
            <w:r>
              <w:t>мјесто</w:t>
            </w:r>
            <w:proofErr w:type="spellEnd"/>
            <w:r>
              <w:t xml:space="preserve"> у </w:t>
            </w:r>
            <w:proofErr w:type="spellStart"/>
            <w:r>
              <w:t>обрасцу</w:t>
            </w:r>
            <w:proofErr w:type="spellEnd"/>
            <w:r>
              <w:t xml:space="preserve"> </w:t>
            </w:r>
            <w:proofErr w:type="spellStart"/>
            <w:r>
              <w:t>Захтјева</w:t>
            </w:r>
            <w:proofErr w:type="spellEnd"/>
            <w:r>
              <w:t>.</w:t>
            </w:r>
          </w:p>
        </w:tc>
      </w:tr>
      <w:tr w:rsidR="00E84B58" w14:paraId="2D955C0B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086D210D" w14:textId="2059FF45" w:rsidR="00E84B58" w:rsidRDefault="00E84B58" w:rsidP="00E84B58">
            <w:r>
              <w:t>9.</w:t>
            </w:r>
          </w:p>
        </w:tc>
        <w:tc>
          <w:tcPr>
            <w:tcW w:w="3240" w:type="dxa"/>
            <w:vAlign w:val="center"/>
          </w:tcPr>
          <w:p w14:paraId="6D35C93F" w14:textId="1173B68E" w:rsidR="00E84B58" w:rsidRPr="00102F11" w:rsidRDefault="003B3437" w:rsidP="00E84B58">
            <w:pPr>
              <w:rPr>
                <w:b/>
                <w:bCs/>
              </w:rPr>
            </w:pPr>
            <w:proofErr w:type="spellStart"/>
            <w:r w:rsidRPr="00F03B24">
              <w:t>Прилози</w:t>
            </w:r>
            <w:proofErr w:type="spellEnd"/>
            <w:r w:rsidRPr="00F03B24">
              <w:t xml:space="preserve"> </w:t>
            </w:r>
            <w:proofErr w:type="spellStart"/>
            <w:r w:rsidRPr="00F03B24">
              <w:t>уз</w:t>
            </w:r>
            <w:proofErr w:type="spellEnd"/>
            <w:r w:rsidRPr="00F03B24">
              <w:t xml:space="preserve"> </w:t>
            </w:r>
            <w:proofErr w:type="spellStart"/>
            <w:r w:rsidRPr="00F03B24">
              <w:t>образац</w:t>
            </w:r>
            <w:proofErr w:type="spellEnd"/>
            <w:r w:rsidRPr="00F03B24">
              <w:t xml:space="preserve"> </w:t>
            </w:r>
            <w:proofErr w:type="spellStart"/>
            <w:r w:rsidRPr="00F03B24">
              <w:t>Захтјева</w:t>
            </w:r>
            <w:proofErr w:type="spellEnd"/>
          </w:p>
        </w:tc>
        <w:tc>
          <w:tcPr>
            <w:tcW w:w="6390" w:type="dxa"/>
            <w:vAlign w:val="center"/>
          </w:tcPr>
          <w:p w14:paraId="25CB7D25" w14:textId="77777777" w:rsidR="003B3437" w:rsidRDefault="003B3437" w:rsidP="001D5BEC">
            <w:proofErr w:type="spellStart"/>
            <w:r>
              <w:t>Уз</w:t>
            </w:r>
            <w:proofErr w:type="spellEnd"/>
            <w:r>
              <w:t xml:space="preserve"> </w:t>
            </w:r>
            <w:proofErr w:type="spellStart"/>
            <w:r>
              <w:t>попуњени</w:t>
            </w:r>
            <w:proofErr w:type="spellEnd"/>
            <w:r>
              <w:t xml:space="preserve"> </w:t>
            </w:r>
            <w:proofErr w:type="spellStart"/>
            <w:r>
              <w:t>образац</w:t>
            </w:r>
            <w:proofErr w:type="spellEnd"/>
            <w:r>
              <w:t xml:space="preserve"> </w:t>
            </w:r>
            <w:proofErr w:type="spellStart"/>
            <w:r>
              <w:t>Захтјева</w:t>
            </w:r>
            <w:proofErr w:type="spellEnd"/>
            <w:r>
              <w:t xml:space="preserve"> </w:t>
            </w:r>
            <w:proofErr w:type="spellStart"/>
            <w:r>
              <w:t>неопходно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доставити</w:t>
            </w:r>
            <w:proofErr w:type="spellEnd"/>
            <w:r>
              <w:t xml:space="preserve"> </w:t>
            </w:r>
            <w:proofErr w:type="spellStart"/>
            <w:r>
              <w:t>сљедеће</w:t>
            </w:r>
            <w:proofErr w:type="spellEnd"/>
            <w:r>
              <w:t xml:space="preserve"> </w:t>
            </w:r>
            <w:proofErr w:type="spellStart"/>
            <w:r>
              <w:t>прилоге</w:t>
            </w:r>
            <w:proofErr w:type="spellEnd"/>
            <w:r>
              <w:t>:</w:t>
            </w:r>
          </w:p>
          <w:p w14:paraId="0A8CAF44" w14:textId="77777777" w:rsidR="003B3437" w:rsidRDefault="003B3437" w:rsidP="001D5BEC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Детаљан</w:t>
            </w:r>
            <w:proofErr w:type="spellEnd"/>
            <w:r>
              <w:t xml:space="preserve"> </w:t>
            </w:r>
            <w:proofErr w:type="spellStart"/>
            <w:r>
              <w:t>опис</w:t>
            </w:r>
            <w:proofErr w:type="spellEnd"/>
            <w:r>
              <w:t xml:space="preserve"> </w:t>
            </w:r>
            <w:proofErr w:type="spellStart"/>
            <w:r>
              <w:t>пројекта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тражи</w:t>
            </w:r>
            <w:proofErr w:type="spellEnd"/>
            <w:r>
              <w:t xml:space="preserve"> (</w:t>
            </w:r>
            <w:proofErr w:type="spellStart"/>
            <w:r>
              <w:t>су</w:t>
            </w:r>
            <w:proofErr w:type="spellEnd"/>
            <w:r>
              <w:t>)</w:t>
            </w:r>
            <w:proofErr w:type="spellStart"/>
            <w:r>
              <w:t>финансирање</w:t>
            </w:r>
            <w:proofErr w:type="spellEnd"/>
            <w:r>
              <w:t>;</w:t>
            </w:r>
          </w:p>
          <w:p w14:paraId="522C675E" w14:textId="77777777" w:rsidR="003B3437" w:rsidRDefault="003B3437" w:rsidP="001D5BEC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Разрађен</w:t>
            </w:r>
            <w:proofErr w:type="spellEnd"/>
            <w:r>
              <w:t xml:space="preserve"> </w:t>
            </w:r>
            <w:proofErr w:type="spellStart"/>
            <w:r>
              <w:t>финансијски</w:t>
            </w:r>
            <w:proofErr w:type="spellEnd"/>
            <w:r>
              <w:t xml:space="preserve"> </w:t>
            </w:r>
            <w:proofErr w:type="spellStart"/>
            <w:r>
              <w:t>план</w:t>
            </w:r>
            <w:proofErr w:type="spellEnd"/>
            <w:r>
              <w:t xml:space="preserve"> </w:t>
            </w:r>
            <w:proofErr w:type="spellStart"/>
            <w:r>
              <w:t>пројекта</w:t>
            </w:r>
            <w:proofErr w:type="spellEnd"/>
            <w:r>
              <w:t xml:space="preserve"> (</w:t>
            </w:r>
            <w:proofErr w:type="spellStart"/>
            <w:r>
              <w:t>буџет</w:t>
            </w:r>
            <w:proofErr w:type="spellEnd"/>
            <w:r>
              <w:t>);</w:t>
            </w:r>
          </w:p>
          <w:p w14:paraId="0C866CAD" w14:textId="77777777" w:rsidR="003B3437" w:rsidRDefault="003B3437" w:rsidP="001D5BEC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Документацију</w:t>
            </w:r>
            <w:proofErr w:type="spellEnd"/>
            <w:r>
              <w:t xml:space="preserve"> </w:t>
            </w:r>
            <w:proofErr w:type="spellStart"/>
            <w:r>
              <w:t>која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наведена</w:t>
            </w:r>
            <w:proofErr w:type="spellEnd"/>
            <w:r>
              <w:t xml:space="preserve"> </w:t>
            </w:r>
            <w:proofErr w:type="spellStart"/>
            <w:r>
              <w:t>као</w:t>
            </w:r>
            <w:proofErr w:type="spellEnd"/>
            <w:r>
              <w:t xml:space="preserve"> </w:t>
            </w:r>
            <w:proofErr w:type="spellStart"/>
            <w:r>
              <w:t>обавезна</w:t>
            </w:r>
            <w:proofErr w:type="spellEnd"/>
            <w:r>
              <w:t xml:space="preserve"> у </w:t>
            </w:r>
            <w:proofErr w:type="spellStart"/>
            <w:r>
              <w:t>обрасцу</w:t>
            </w:r>
            <w:proofErr w:type="spellEnd"/>
            <w:r>
              <w:t xml:space="preserve"> </w:t>
            </w:r>
            <w:proofErr w:type="spellStart"/>
            <w:r>
              <w:t>Захтјева</w:t>
            </w:r>
            <w:proofErr w:type="spellEnd"/>
            <w:r>
              <w:t>;</w:t>
            </w:r>
          </w:p>
          <w:p w14:paraId="1C03CF10" w14:textId="77777777" w:rsidR="003B3437" w:rsidRDefault="003B3437" w:rsidP="001D5BEC">
            <w:proofErr w:type="spellStart"/>
            <w:r>
              <w:lastRenderedPageBreak/>
              <w:t>Д</w:t>
            </w:r>
            <w:r w:rsidRPr="00F03B24">
              <w:t>руг</w:t>
            </w:r>
            <w:r>
              <w:t>у</w:t>
            </w:r>
            <w:proofErr w:type="spellEnd"/>
            <w:r w:rsidRPr="00F03B24">
              <w:t xml:space="preserve"> </w:t>
            </w:r>
            <w:proofErr w:type="spellStart"/>
            <w:r w:rsidRPr="00F03B24">
              <w:t>додатн</w:t>
            </w:r>
            <w:r>
              <w:t>у</w:t>
            </w:r>
            <w:proofErr w:type="spellEnd"/>
            <w:r w:rsidRPr="00F03B24">
              <w:t xml:space="preserve"> </w:t>
            </w:r>
            <w:proofErr w:type="spellStart"/>
            <w:r w:rsidRPr="00F03B24">
              <w:t>документациј</w:t>
            </w:r>
            <w:r>
              <w:t>а</w:t>
            </w:r>
            <w:proofErr w:type="spellEnd"/>
            <w:r w:rsidRPr="00F03B24">
              <w:t xml:space="preserve"> </w:t>
            </w:r>
            <w:proofErr w:type="spellStart"/>
            <w:r w:rsidRPr="00F03B24">
              <w:t>којом</w:t>
            </w:r>
            <w:proofErr w:type="spellEnd"/>
            <w:r w:rsidRPr="00F03B24">
              <w:t xml:space="preserve"> </w:t>
            </w:r>
            <w:proofErr w:type="spellStart"/>
            <w:r>
              <w:t>подносилац</w:t>
            </w:r>
            <w:proofErr w:type="spellEnd"/>
            <w:r>
              <w:t xml:space="preserve"> </w:t>
            </w:r>
            <w:proofErr w:type="spellStart"/>
            <w:r>
              <w:t>захтјева</w:t>
            </w:r>
            <w:proofErr w:type="spellEnd"/>
            <w:r>
              <w:t xml:space="preserve"> </w:t>
            </w:r>
            <w:proofErr w:type="spellStart"/>
            <w:r w:rsidRPr="00F03B24">
              <w:t>доказује</w:t>
            </w:r>
            <w:proofErr w:type="spellEnd"/>
            <w:r w:rsidRPr="00F03B24">
              <w:t xml:space="preserve"> </w:t>
            </w:r>
            <w:proofErr w:type="spellStart"/>
            <w:r w:rsidRPr="00F03B24">
              <w:t>да</w:t>
            </w:r>
            <w:proofErr w:type="spellEnd"/>
            <w:r w:rsidRPr="00F03B24">
              <w:t xml:space="preserve"> </w:t>
            </w:r>
            <w:proofErr w:type="spellStart"/>
            <w:r w:rsidRPr="00F03B24">
              <w:t>испуњава</w:t>
            </w:r>
            <w:proofErr w:type="spellEnd"/>
            <w:r w:rsidRPr="00F03B24">
              <w:t xml:space="preserve"> </w:t>
            </w:r>
            <w:proofErr w:type="spellStart"/>
            <w:r w:rsidRPr="008C23F3">
              <w:t>прописане</w:t>
            </w:r>
            <w:proofErr w:type="spellEnd"/>
            <w:r w:rsidRPr="008C23F3">
              <w:t xml:space="preserve"> </w:t>
            </w:r>
            <w:proofErr w:type="spellStart"/>
            <w:r w:rsidRPr="008C23F3">
              <w:t>оп</w:t>
            </w:r>
            <w:r>
              <w:t>шт</w:t>
            </w:r>
            <w:r w:rsidRPr="008C23F3">
              <w:t>е</w:t>
            </w:r>
            <w:proofErr w:type="spellEnd"/>
            <w:r w:rsidRPr="008C23F3">
              <w:t xml:space="preserve"> </w:t>
            </w:r>
            <w:proofErr w:type="spellStart"/>
            <w:r w:rsidRPr="008C23F3">
              <w:t>услове</w:t>
            </w:r>
            <w:proofErr w:type="spellEnd"/>
            <w:r w:rsidRPr="008C23F3">
              <w:t xml:space="preserve"> и </w:t>
            </w:r>
            <w:proofErr w:type="spellStart"/>
            <w:r w:rsidRPr="008C23F3">
              <w:t>критерије</w:t>
            </w:r>
            <w:proofErr w:type="spellEnd"/>
            <w:r w:rsidRPr="008C23F3">
              <w:t xml:space="preserve"> </w:t>
            </w:r>
            <w:proofErr w:type="spellStart"/>
            <w:r w:rsidRPr="008C23F3">
              <w:t>из</w:t>
            </w:r>
            <w:proofErr w:type="spellEnd"/>
            <w:r w:rsidRPr="008C23F3">
              <w:t xml:space="preserve"> </w:t>
            </w:r>
            <w:proofErr w:type="spellStart"/>
            <w:r>
              <w:t>Сталног</w:t>
            </w:r>
            <w:proofErr w:type="spellEnd"/>
            <w:r>
              <w:t xml:space="preserve"> </w:t>
            </w:r>
            <w:proofErr w:type="spellStart"/>
            <w:r>
              <w:t>ј</w:t>
            </w:r>
            <w:r w:rsidRPr="00F03B24">
              <w:t>авног</w:t>
            </w:r>
            <w:proofErr w:type="spellEnd"/>
            <w:r w:rsidRPr="00F03B24">
              <w:t xml:space="preserve"> </w:t>
            </w:r>
            <w:proofErr w:type="spellStart"/>
            <w:r w:rsidRPr="00F03B24">
              <w:t>позива</w:t>
            </w:r>
            <w:proofErr w:type="spellEnd"/>
            <w:r>
              <w:t>.</w:t>
            </w:r>
          </w:p>
          <w:p w14:paraId="43765485" w14:textId="480292EE" w:rsidR="00E84B58" w:rsidRDefault="00E84B58" w:rsidP="00E84B58">
            <w:pPr>
              <w:pStyle w:val="ListParagraph"/>
              <w:numPr>
                <w:ilvl w:val="0"/>
                <w:numId w:val="3"/>
              </w:numPr>
            </w:pPr>
          </w:p>
        </w:tc>
      </w:tr>
      <w:tr w:rsidR="008C23F3" w:rsidRPr="008C23F3" w14:paraId="7055EB2B" w14:textId="77777777" w:rsidTr="00E84B58">
        <w:trPr>
          <w:trHeight w:val="708"/>
        </w:trPr>
        <w:tc>
          <w:tcPr>
            <w:tcW w:w="540" w:type="dxa"/>
            <w:vAlign w:val="center"/>
          </w:tcPr>
          <w:p w14:paraId="3225ACF2" w14:textId="5F76687D" w:rsidR="00E84B58" w:rsidRDefault="00E84B58" w:rsidP="00E84B58">
            <w:r>
              <w:lastRenderedPageBreak/>
              <w:t>1</w:t>
            </w:r>
            <w:r w:rsidR="00486483">
              <w:t>0</w:t>
            </w:r>
            <w:r>
              <w:t>.</w:t>
            </w:r>
          </w:p>
        </w:tc>
        <w:tc>
          <w:tcPr>
            <w:tcW w:w="3240" w:type="dxa"/>
            <w:vAlign w:val="center"/>
          </w:tcPr>
          <w:p w14:paraId="6A688FA3" w14:textId="4AFB1661" w:rsidR="00E84B58" w:rsidRDefault="003B3437" w:rsidP="00E84B58">
            <w:proofErr w:type="spellStart"/>
            <w:r>
              <w:t>Начин</w:t>
            </w:r>
            <w:proofErr w:type="spellEnd"/>
            <w:r>
              <w:t xml:space="preserve"> </w:t>
            </w:r>
            <w:proofErr w:type="spellStart"/>
            <w:r>
              <w:t>подношења</w:t>
            </w:r>
            <w:proofErr w:type="spellEnd"/>
            <w:r>
              <w:t xml:space="preserve"> </w:t>
            </w:r>
            <w:proofErr w:type="spellStart"/>
            <w:r>
              <w:t>пријаве</w:t>
            </w:r>
            <w:proofErr w:type="spellEnd"/>
            <w:r>
              <w:t>/</w:t>
            </w:r>
            <w:proofErr w:type="spellStart"/>
            <w:r>
              <w:t>захтјева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Стални</w:t>
            </w:r>
            <w:proofErr w:type="spellEnd"/>
            <w:r>
              <w:t xml:space="preserve"> </w:t>
            </w:r>
            <w:proofErr w:type="spellStart"/>
            <w:r>
              <w:t>јавни</w:t>
            </w:r>
            <w:proofErr w:type="spellEnd"/>
            <w:r>
              <w:t xml:space="preserve"> </w:t>
            </w:r>
            <w:proofErr w:type="spellStart"/>
            <w:r>
              <w:t>позив</w:t>
            </w:r>
            <w:proofErr w:type="spellEnd"/>
          </w:p>
        </w:tc>
        <w:tc>
          <w:tcPr>
            <w:tcW w:w="6390" w:type="dxa"/>
            <w:vAlign w:val="center"/>
          </w:tcPr>
          <w:p w14:paraId="7723ED84" w14:textId="77777777" w:rsidR="003B3437" w:rsidRPr="008C23F3" w:rsidRDefault="003B3437" w:rsidP="004A59CF">
            <w:pPr>
              <w:jc w:val="both"/>
              <w:rPr>
                <w:rFonts w:ascii="Arial" w:eastAsia="Times New Roman" w:hAnsi="Arial" w:cs="Arial"/>
                <w:noProof/>
                <w:lang w:val="hr-HR"/>
              </w:rPr>
            </w:pPr>
            <w:r w:rsidRPr="008C23F3">
              <w:rPr>
                <w:rFonts w:ascii="Arial" w:eastAsia="Times New Roman" w:hAnsi="Arial" w:cs="Arial"/>
                <w:noProof/>
                <w:lang w:val="hr-HR"/>
              </w:rPr>
              <w:t>ЗАХТЈЕВ СА КОМПЛЕТНОМ ДОКУМЕНТАЦИЈОМ ОБАВЕЗНО СЕ ПОДНОСИ У КОВЕРТИ У 1 ПРИМЈЕРКУ (ОРИГИНАЛ или ОВЈЕРЕНА КОПИЈА ОРИГИНАЛА) ПУТЕМ ПОШТЕ НА АДРЕСУ:</w:t>
            </w:r>
          </w:p>
          <w:p w14:paraId="385BD013" w14:textId="77777777" w:rsidR="003B3437" w:rsidRPr="008C23F3" w:rsidRDefault="003B3437" w:rsidP="004A59CF">
            <w:pPr>
              <w:jc w:val="both"/>
              <w:rPr>
                <w:rFonts w:ascii="Arial" w:eastAsia="Times New Roman" w:hAnsi="Arial" w:cs="Arial"/>
                <w:noProof/>
                <w:lang w:val="hr-HR"/>
              </w:rPr>
            </w:pPr>
            <w:r w:rsidRPr="008C23F3">
              <w:rPr>
                <w:rFonts w:ascii="Arial" w:eastAsia="Times New Roman" w:hAnsi="Arial" w:cs="Arial"/>
                <w:noProof/>
                <w:lang w:val="hr-HR"/>
              </w:rPr>
              <w:t xml:space="preserve"> </w:t>
            </w:r>
          </w:p>
          <w:p w14:paraId="354A2AC4" w14:textId="77777777" w:rsidR="003B3437" w:rsidRPr="008C23F3" w:rsidRDefault="003B3437" w:rsidP="004A59CF">
            <w:pPr>
              <w:jc w:val="center"/>
              <w:rPr>
                <w:rFonts w:ascii="Arial" w:eastAsia="Times New Roman" w:hAnsi="Arial" w:cs="Arial"/>
                <w:b/>
                <w:noProof/>
                <w:lang w:val="hr-HR"/>
              </w:rPr>
            </w:pPr>
            <w:r w:rsidRPr="008C23F3">
              <w:rPr>
                <w:rFonts w:ascii="Arial" w:eastAsia="Times New Roman" w:hAnsi="Arial" w:cs="Arial"/>
                <w:b/>
                <w:noProof/>
                <w:lang w:val="hr-HR"/>
              </w:rPr>
              <w:t>ФЕДЕРАЛНО МИНИСТАРСТВО ОБРАЗОВАЊА И НАУКЕ</w:t>
            </w:r>
          </w:p>
          <w:p w14:paraId="79576E14" w14:textId="77777777" w:rsidR="003B3437" w:rsidRPr="00E238D6" w:rsidRDefault="003B3437" w:rsidP="004A59CF">
            <w:pPr>
              <w:jc w:val="center"/>
              <w:rPr>
                <w:rFonts w:ascii="Arial" w:eastAsia="Times New Roman" w:hAnsi="Arial" w:cs="Arial"/>
                <w:b/>
                <w:noProof/>
                <w:lang w:val="hr-HR"/>
              </w:rPr>
            </w:pPr>
            <w:r w:rsidRPr="00E238D6">
              <w:rPr>
                <w:rFonts w:ascii="Arial" w:eastAsia="Times New Roman" w:hAnsi="Arial" w:cs="Arial"/>
                <w:b/>
                <w:noProof/>
                <w:lang w:val="hr-BA"/>
              </w:rPr>
              <w:t>Улица Крпића 3А</w:t>
            </w:r>
            <w:r w:rsidRPr="00E238D6">
              <w:rPr>
                <w:rFonts w:ascii="Arial" w:eastAsia="Times New Roman" w:hAnsi="Arial" w:cs="Arial"/>
                <w:b/>
                <w:noProof/>
                <w:lang w:val="hr-HR"/>
              </w:rPr>
              <w:t xml:space="preserve"> </w:t>
            </w:r>
          </w:p>
          <w:p w14:paraId="2A26DD0B" w14:textId="77777777" w:rsidR="003B3437" w:rsidRPr="008C23F3" w:rsidRDefault="003B3437" w:rsidP="004A59CF">
            <w:pPr>
              <w:jc w:val="center"/>
              <w:rPr>
                <w:rFonts w:ascii="Arial" w:eastAsia="Times New Roman" w:hAnsi="Arial" w:cs="Arial"/>
                <w:b/>
                <w:noProof/>
                <w:lang w:val="hr-HR"/>
              </w:rPr>
            </w:pPr>
            <w:r w:rsidRPr="008C23F3">
              <w:rPr>
                <w:rFonts w:ascii="Arial" w:eastAsia="Times New Roman" w:hAnsi="Arial" w:cs="Arial"/>
                <w:b/>
                <w:noProof/>
                <w:lang w:val="hr-HR"/>
              </w:rPr>
              <w:t>88000 Мостар</w:t>
            </w:r>
          </w:p>
          <w:p w14:paraId="2FFAB881" w14:textId="77777777" w:rsidR="003B3437" w:rsidRPr="008C23F3" w:rsidRDefault="003B3437" w:rsidP="004A59CF">
            <w:pPr>
              <w:jc w:val="center"/>
              <w:rPr>
                <w:rFonts w:ascii="Arial" w:eastAsia="Times New Roman" w:hAnsi="Arial" w:cs="Arial"/>
                <w:b/>
                <w:noProof/>
                <w:lang w:val="hr-HR"/>
              </w:rPr>
            </w:pPr>
            <w:r w:rsidRPr="008C23F3">
              <w:rPr>
                <w:rFonts w:ascii="Arial" w:eastAsia="Times New Roman" w:hAnsi="Arial" w:cs="Arial"/>
                <w:b/>
                <w:noProof/>
                <w:lang w:val="hr-HR"/>
              </w:rPr>
              <w:t>Са напоменом: „За СТАЛНИ ЈАВНИ ПОЗИВ</w:t>
            </w:r>
          </w:p>
          <w:p w14:paraId="4084E79B" w14:textId="77777777" w:rsidR="003B3437" w:rsidRPr="008C23F3" w:rsidRDefault="003B3437" w:rsidP="004A59CF">
            <w:pPr>
              <w:jc w:val="center"/>
              <w:rPr>
                <w:rFonts w:ascii="Arial" w:eastAsia="Times New Roman" w:hAnsi="Arial" w:cs="Arial"/>
                <w:b/>
                <w:noProof/>
                <w:lang w:val="hr-HR"/>
              </w:rPr>
            </w:pPr>
            <w:r w:rsidRPr="008C23F3">
              <w:rPr>
                <w:rFonts w:ascii="Arial" w:eastAsia="Times New Roman" w:hAnsi="Arial" w:cs="Arial"/>
                <w:b/>
                <w:noProof/>
                <w:lang w:val="hr-HR"/>
              </w:rPr>
              <w:t>за подршку такмичењима и такмичарским манифестацијама у области одгоја и образовања из Буџета Федерације Босне и Херцеговине у 202</w:t>
            </w:r>
            <w:r>
              <w:rPr>
                <w:rFonts w:ascii="Arial" w:eastAsia="Times New Roman" w:hAnsi="Arial" w:cs="Arial"/>
                <w:b/>
                <w:noProof/>
                <w:lang w:val="hr-HR"/>
              </w:rPr>
              <w:t>6</w:t>
            </w:r>
            <w:r w:rsidRPr="008C23F3">
              <w:rPr>
                <w:rFonts w:ascii="Arial" w:eastAsia="Times New Roman" w:hAnsi="Arial" w:cs="Arial"/>
                <w:b/>
                <w:noProof/>
                <w:lang w:val="hr-HR"/>
              </w:rPr>
              <w:t xml:space="preserve">. години – не отварати“ </w:t>
            </w:r>
          </w:p>
          <w:p w14:paraId="45B60EBC" w14:textId="77777777" w:rsidR="003B3437" w:rsidRPr="008C23F3" w:rsidRDefault="003B3437" w:rsidP="004A59CF">
            <w:pPr>
              <w:rPr>
                <w:rFonts w:ascii="Arial" w:eastAsia="Times New Roman" w:hAnsi="Arial" w:cs="Arial"/>
                <w:bCs/>
                <w:noProof/>
                <w:lang w:val="hr-HR"/>
              </w:rPr>
            </w:pPr>
          </w:p>
          <w:p w14:paraId="74600B93" w14:textId="77777777" w:rsidR="003B3437" w:rsidRPr="008C23F3" w:rsidRDefault="003B3437" w:rsidP="004A59CF">
            <w:pPr>
              <w:rPr>
                <w:rFonts w:ascii="Arial" w:eastAsia="Times New Roman" w:hAnsi="Arial" w:cs="Arial"/>
                <w:b/>
                <w:noProof/>
                <w:lang w:val="hr-HR"/>
              </w:rPr>
            </w:pPr>
            <w:r w:rsidRPr="008C23F3">
              <w:rPr>
                <w:rFonts w:ascii="Arial" w:eastAsia="Times New Roman" w:hAnsi="Arial" w:cs="Arial"/>
                <w:bCs/>
                <w:noProof/>
                <w:lang w:val="hr-HR"/>
              </w:rPr>
              <w:t>ОБАВЕЗНО НА КОВЕРТИ НАВЕСТИ ПОДАТКЕ ПОШИЉАОЦА.</w:t>
            </w:r>
          </w:p>
          <w:p w14:paraId="23A8F8F8" w14:textId="77777777" w:rsidR="003B3437" w:rsidRPr="008C23F3" w:rsidRDefault="003B3437" w:rsidP="004A59CF"/>
          <w:p w14:paraId="24641198" w14:textId="6169D99D" w:rsidR="003B3437" w:rsidRDefault="003B3437" w:rsidP="004A59CF">
            <w:proofErr w:type="spellStart"/>
            <w:r w:rsidRPr="008C23F3">
              <w:t>Напомена</w:t>
            </w:r>
            <w:proofErr w:type="spellEnd"/>
            <w:r w:rsidRPr="008C23F3">
              <w:t xml:space="preserve">: </w:t>
            </w:r>
            <w:proofErr w:type="spellStart"/>
            <w:r w:rsidRPr="008C23F3">
              <w:t>Подносилац</w:t>
            </w:r>
            <w:proofErr w:type="spellEnd"/>
            <w:r w:rsidRPr="008C23F3">
              <w:t xml:space="preserve"> </w:t>
            </w:r>
            <w:proofErr w:type="spellStart"/>
            <w:r w:rsidRPr="008C23F3">
              <w:t>захтјева</w:t>
            </w:r>
            <w:proofErr w:type="spellEnd"/>
            <w:r w:rsidRPr="008C23F3">
              <w:t xml:space="preserve"> </w:t>
            </w:r>
            <w:proofErr w:type="spellStart"/>
            <w:r w:rsidRPr="008C23F3">
              <w:t>може</w:t>
            </w:r>
            <w:proofErr w:type="spellEnd"/>
            <w:r w:rsidRPr="008C23F3">
              <w:t xml:space="preserve"> </w:t>
            </w:r>
            <w:proofErr w:type="spellStart"/>
            <w:r w:rsidRPr="008C23F3">
              <w:t>се</w:t>
            </w:r>
            <w:proofErr w:type="spellEnd"/>
            <w:r w:rsidRPr="008C23F3">
              <w:t xml:space="preserve"> </w:t>
            </w:r>
            <w:proofErr w:type="spellStart"/>
            <w:r w:rsidRPr="008C23F3">
              <w:t>пријавити</w:t>
            </w:r>
            <w:proofErr w:type="spellEnd"/>
            <w:r w:rsidRPr="008C23F3">
              <w:t xml:space="preserve"> </w:t>
            </w:r>
            <w:proofErr w:type="spellStart"/>
            <w:r w:rsidRPr="008C23F3">
              <w:t>само</w:t>
            </w:r>
            <w:proofErr w:type="spellEnd"/>
            <w:r w:rsidRPr="008C23F3">
              <w:t xml:space="preserve"> </w:t>
            </w:r>
            <w:proofErr w:type="spellStart"/>
            <w:r w:rsidRPr="008C23F3">
              <w:t>једном</w:t>
            </w:r>
            <w:proofErr w:type="spellEnd"/>
            <w:r w:rsidRPr="008C23F3">
              <w:t xml:space="preserve"> и </w:t>
            </w:r>
            <w:proofErr w:type="spellStart"/>
            <w:r w:rsidRPr="008C23F3">
              <w:t>то</w:t>
            </w:r>
            <w:proofErr w:type="spellEnd"/>
            <w:r w:rsidRPr="008C23F3">
              <w:t xml:space="preserve"> </w:t>
            </w:r>
            <w:proofErr w:type="spellStart"/>
            <w:r w:rsidRPr="008C23F3">
              <w:t>са</w:t>
            </w:r>
            <w:proofErr w:type="spellEnd"/>
            <w:r w:rsidRPr="008C23F3">
              <w:t xml:space="preserve"> </w:t>
            </w:r>
            <w:proofErr w:type="spellStart"/>
            <w:r w:rsidRPr="008C23F3">
              <w:t>једним</w:t>
            </w:r>
            <w:proofErr w:type="spellEnd"/>
            <w:r w:rsidRPr="008C23F3">
              <w:t xml:space="preserve"> </w:t>
            </w:r>
            <w:proofErr w:type="spellStart"/>
            <w:r w:rsidRPr="008C23F3">
              <w:t>пројектом</w:t>
            </w:r>
            <w:proofErr w:type="spellEnd"/>
            <w:r w:rsidRPr="008C23F3">
              <w:t xml:space="preserve"> у </w:t>
            </w:r>
            <w:proofErr w:type="spellStart"/>
            <w:r w:rsidRPr="008C23F3">
              <w:t>току</w:t>
            </w:r>
            <w:proofErr w:type="spellEnd"/>
            <w:r w:rsidRPr="008C23F3">
              <w:t xml:space="preserve"> 202</w:t>
            </w:r>
            <w:r>
              <w:t>6</w:t>
            </w:r>
            <w:r w:rsidRPr="008C23F3">
              <w:t xml:space="preserve">. </w:t>
            </w:r>
            <w:proofErr w:type="spellStart"/>
            <w:r w:rsidRPr="008C23F3">
              <w:t>године</w:t>
            </w:r>
            <w:proofErr w:type="spellEnd"/>
            <w:r w:rsidRPr="008C23F3">
              <w:t xml:space="preserve"> </w:t>
            </w:r>
            <w:proofErr w:type="spellStart"/>
            <w:r w:rsidRPr="008C23F3">
              <w:t>на</w:t>
            </w:r>
            <w:proofErr w:type="spellEnd"/>
            <w:r w:rsidRPr="008C23F3">
              <w:t xml:space="preserve"> </w:t>
            </w:r>
            <w:proofErr w:type="spellStart"/>
            <w:r w:rsidRPr="008C23F3">
              <w:t>Стални</w:t>
            </w:r>
            <w:proofErr w:type="spellEnd"/>
            <w:r w:rsidRPr="008C23F3">
              <w:t xml:space="preserve"> </w:t>
            </w:r>
            <w:proofErr w:type="spellStart"/>
            <w:r w:rsidRPr="008C23F3">
              <w:t>јавни</w:t>
            </w:r>
            <w:proofErr w:type="spellEnd"/>
            <w:r w:rsidRPr="008C23F3">
              <w:t xml:space="preserve"> </w:t>
            </w:r>
            <w:proofErr w:type="spellStart"/>
            <w:r w:rsidRPr="008C23F3">
              <w:t>позив</w:t>
            </w:r>
            <w:proofErr w:type="spellEnd"/>
            <w:r w:rsidRPr="008C23F3">
              <w:t>.</w:t>
            </w:r>
          </w:p>
          <w:p w14:paraId="485B443E" w14:textId="6B820C6F" w:rsidR="00E84B58" w:rsidRPr="008C23F3" w:rsidRDefault="00E84B58" w:rsidP="00E84B58"/>
        </w:tc>
      </w:tr>
      <w:tr w:rsidR="00E84B58" w14:paraId="61866F3A" w14:textId="77777777" w:rsidTr="008D7232">
        <w:trPr>
          <w:trHeight w:val="1330"/>
        </w:trPr>
        <w:tc>
          <w:tcPr>
            <w:tcW w:w="540" w:type="dxa"/>
            <w:vAlign w:val="center"/>
          </w:tcPr>
          <w:p w14:paraId="7E5C7198" w14:textId="308F7C8E" w:rsidR="00E84B58" w:rsidRDefault="00E84B58" w:rsidP="00E84B58">
            <w:r>
              <w:t>1</w:t>
            </w:r>
            <w:r w:rsidR="00486483">
              <w:t>1</w:t>
            </w:r>
            <w:r>
              <w:t>.</w:t>
            </w:r>
          </w:p>
        </w:tc>
        <w:tc>
          <w:tcPr>
            <w:tcW w:w="3240" w:type="dxa"/>
            <w:vAlign w:val="center"/>
          </w:tcPr>
          <w:p w14:paraId="3B7ED087" w14:textId="07C00ED0" w:rsidR="00E84B58" w:rsidRDefault="003B3437" w:rsidP="00E84B58">
            <w:proofErr w:type="spellStart"/>
            <w:r>
              <w:t>Пријаве</w:t>
            </w:r>
            <w:proofErr w:type="spellEnd"/>
            <w:r>
              <w:t xml:space="preserve">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неће</w:t>
            </w:r>
            <w:proofErr w:type="spellEnd"/>
            <w:r>
              <w:t xml:space="preserve"> </w:t>
            </w:r>
            <w:proofErr w:type="spellStart"/>
            <w:r>
              <w:t>бити</w:t>
            </w:r>
            <w:proofErr w:type="spellEnd"/>
            <w:r>
              <w:t xml:space="preserve"> </w:t>
            </w:r>
            <w:proofErr w:type="spellStart"/>
            <w:r>
              <w:t>разматране</w:t>
            </w:r>
            <w:proofErr w:type="spellEnd"/>
            <w:r>
              <w:t>:</w:t>
            </w:r>
          </w:p>
        </w:tc>
        <w:tc>
          <w:tcPr>
            <w:tcW w:w="6390" w:type="dxa"/>
            <w:vAlign w:val="center"/>
          </w:tcPr>
          <w:p w14:paraId="01543529" w14:textId="77777777" w:rsidR="003B3437" w:rsidRPr="002C27AA" w:rsidRDefault="003B3437" w:rsidP="00C05CC7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Н</w:t>
            </w:r>
            <w:r w:rsidRPr="008D7232">
              <w:t>еблаговремене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пријаве</w:t>
            </w:r>
            <w:proofErr w:type="spellEnd"/>
            <w:r w:rsidRPr="008D7232">
              <w:t>;</w:t>
            </w:r>
          </w:p>
          <w:p w14:paraId="16881338" w14:textId="30816694" w:rsidR="003B3437" w:rsidRDefault="003B3437" w:rsidP="00C05CC7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К</w:t>
            </w:r>
            <w:r w:rsidRPr="002C3A5D">
              <w:t>орисници</w:t>
            </w:r>
            <w:proofErr w:type="spellEnd"/>
            <w:r w:rsidRPr="002C3A5D">
              <w:t xml:space="preserve"> </w:t>
            </w:r>
            <w:proofErr w:type="spellStart"/>
            <w:r w:rsidRPr="002C3A5D">
              <w:t>средстава</w:t>
            </w:r>
            <w:proofErr w:type="spellEnd"/>
            <w:r w:rsidRPr="002C3A5D">
              <w:t xml:space="preserve"> </w:t>
            </w:r>
            <w:proofErr w:type="spellStart"/>
            <w:r w:rsidRPr="002C3A5D">
              <w:t>који</w:t>
            </w:r>
            <w:proofErr w:type="spellEnd"/>
            <w:r w:rsidRPr="002C3A5D">
              <w:t xml:space="preserve"> </w:t>
            </w:r>
            <w:proofErr w:type="spellStart"/>
            <w:r w:rsidRPr="002C3A5D">
              <w:t>према</w:t>
            </w:r>
            <w:proofErr w:type="spellEnd"/>
            <w:r w:rsidRPr="002C3A5D">
              <w:t xml:space="preserve"> </w:t>
            </w:r>
            <w:proofErr w:type="spellStart"/>
            <w:r w:rsidRPr="002C3A5D">
              <w:t>евиденцијама</w:t>
            </w:r>
            <w:proofErr w:type="spellEnd"/>
            <w:r w:rsidRPr="002C3A5D">
              <w:t xml:space="preserve"> </w:t>
            </w:r>
            <w:proofErr w:type="spellStart"/>
            <w:r w:rsidRPr="002C3A5D">
              <w:t>Министарства</w:t>
            </w:r>
            <w:proofErr w:type="spellEnd"/>
            <w:r w:rsidRPr="002C3A5D">
              <w:t xml:space="preserve"> </w:t>
            </w:r>
            <w:proofErr w:type="spellStart"/>
            <w:r w:rsidRPr="002C3A5D">
              <w:t>до</w:t>
            </w:r>
            <w:proofErr w:type="spellEnd"/>
            <w:r w:rsidRPr="002C3A5D">
              <w:t xml:space="preserve"> </w:t>
            </w:r>
            <w:proofErr w:type="spellStart"/>
            <w:r w:rsidRPr="002C3A5D">
              <w:t>датума</w:t>
            </w:r>
            <w:proofErr w:type="spellEnd"/>
            <w:r w:rsidRPr="002C3A5D">
              <w:t xml:space="preserve"> </w:t>
            </w:r>
            <w:proofErr w:type="spellStart"/>
            <w:r w:rsidRPr="002C3A5D">
              <w:t>аплицирања</w:t>
            </w:r>
            <w:proofErr w:type="spellEnd"/>
            <w:r w:rsidRPr="002C3A5D">
              <w:t xml:space="preserve"> </w:t>
            </w:r>
            <w:proofErr w:type="spellStart"/>
            <w:r w:rsidRPr="002C3A5D">
              <w:t>на</w:t>
            </w:r>
            <w:proofErr w:type="spellEnd"/>
            <w:r w:rsidRPr="002C3A5D">
              <w:t xml:space="preserve"> </w:t>
            </w:r>
            <w:proofErr w:type="spellStart"/>
            <w:r w:rsidRPr="002C3A5D">
              <w:t>овај</w:t>
            </w:r>
            <w:proofErr w:type="spellEnd"/>
            <w:r w:rsidRPr="002C3A5D">
              <w:t xml:space="preserve"> </w:t>
            </w:r>
            <w:proofErr w:type="spellStart"/>
            <w:r w:rsidRPr="002C3A5D">
              <w:t>стални</w:t>
            </w:r>
            <w:proofErr w:type="spellEnd"/>
            <w:r w:rsidRPr="002C3A5D">
              <w:t xml:space="preserve"> </w:t>
            </w:r>
            <w:proofErr w:type="spellStart"/>
            <w:r w:rsidRPr="002C3A5D">
              <w:t>јавни</w:t>
            </w:r>
            <w:proofErr w:type="spellEnd"/>
            <w:r w:rsidRPr="002C3A5D">
              <w:t xml:space="preserve"> </w:t>
            </w:r>
            <w:proofErr w:type="spellStart"/>
            <w:r w:rsidRPr="002C3A5D">
              <w:t>позив</w:t>
            </w:r>
            <w:proofErr w:type="spellEnd"/>
            <w:r w:rsidRPr="002C3A5D">
              <w:t xml:space="preserve"> </w:t>
            </w:r>
            <w:proofErr w:type="spellStart"/>
            <w:r w:rsidRPr="002C3A5D">
              <w:t>нису</w:t>
            </w:r>
            <w:proofErr w:type="spellEnd"/>
            <w:r w:rsidRPr="002C3A5D">
              <w:t xml:space="preserve"> </w:t>
            </w:r>
            <w:proofErr w:type="spellStart"/>
            <w:r w:rsidRPr="002C3A5D">
              <w:t>доставили</w:t>
            </w:r>
            <w:proofErr w:type="spellEnd"/>
            <w:r w:rsidRPr="002C3A5D">
              <w:t xml:space="preserve"> </w:t>
            </w:r>
            <w:proofErr w:type="spellStart"/>
            <w:r w:rsidRPr="002C3A5D">
              <w:t>Извјештај</w:t>
            </w:r>
            <w:proofErr w:type="spellEnd"/>
            <w:r w:rsidRPr="002C3A5D">
              <w:t xml:space="preserve"> о </w:t>
            </w:r>
            <w:proofErr w:type="spellStart"/>
            <w:r w:rsidRPr="002C3A5D">
              <w:t>намјенском</w:t>
            </w:r>
            <w:proofErr w:type="spellEnd"/>
            <w:r w:rsidRPr="002C3A5D">
              <w:t xml:space="preserve"> </w:t>
            </w:r>
            <w:proofErr w:type="spellStart"/>
            <w:r w:rsidRPr="002C3A5D">
              <w:t>утрошку</w:t>
            </w:r>
            <w:proofErr w:type="spellEnd"/>
            <w:r w:rsidRPr="002C3A5D">
              <w:t xml:space="preserve"> </w:t>
            </w:r>
            <w:proofErr w:type="spellStart"/>
            <w:r w:rsidRPr="002C3A5D">
              <w:t>средстава</w:t>
            </w:r>
            <w:proofErr w:type="spellEnd"/>
            <w:r w:rsidRPr="002C3A5D">
              <w:t xml:space="preserve">, </w:t>
            </w:r>
            <w:proofErr w:type="spellStart"/>
            <w:r w:rsidRPr="002C3A5D">
              <w:t>односно</w:t>
            </w:r>
            <w:proofErr w:type="spellEnd"/>
            <w:r w:rsidRPr="002C3A5D">
              <w:t xml:space="preserve"> </w:t>
            </w:r>
            <w:proofErr w:type="spellStart"/>
            <w:r w:rsidRPr="002C3A5D">
              <w:t>нису</w:t>
            </w:r>
            <w:proofErr w:type="spellEnd"/>
            <w:r w:rsidRPr="002C3A5D">
              <w:t xml:space="preserve"> </w:t>
            </w:r>
            <w:proofErr w:type="spellStart"/>
            <w:r w:rsidRPr="002C3A5D">
              <w:t>оправдали</w:t>
            </w:r>
            <w:proofErr w:type="spellEnd"/>
            <w:r w:rsidRPr="002C3A5D">
              <w:t xml:space="preserve"> </w:t>
            </w:r>
            <w:proofErr w:type="spellStart"/>
            <w:r w:rsidRPr="002C3A5D">
              <w:t>средства</w:t>
            </w:r>
            <w:proofErr w:type="spellEnd"/>
            <w:r w:rsidRPr="002C3A5D">
              <w:t xml:space="preserve"> </w:t>
            </w:r>
            <w:proofErr w:type="spellStart"/>
            <w:r w:rsidRPr="002C3A5D">
              <w:t>додијељена</w:t>
            </w:r>
            <w:proofErr w:type="spellEnd"/>
            <w:r w:rsidRPr="002C3A5D">
              <w:t xml:space="preserve"> у </w:t>
            </w:r>
            <w:proofErr w:type="spellStart"/>
            <w:r w:rsidRPr="002C3A5D">
              <w:t>претходном</w:t>
            </w:r>
            <w:proofErr w:type="spellEnd"/>
            <w:r w:rsidRPr="002C3A5D">
              <w:t xml:space="preserve"> </w:t>
            </w:r>
            <w:proofErr w:type="spellStart"/>
            <w:r w:rsidRPr="002C3A5D">
              <w:t>периоду</w:t>
            </w:r>
            <w:proofErr w:type="spellEnd"/>
            <w:r w:rsidRPr="002C3A5D">
              <w:t xml:space="preserve">, а </w:t>
            </w:r>
            <w:proofErr w:type="spellStart"/>
            <w:r w:rsidRPr="002C3A5D">
              <w:t>били</w:t>
            </w:r>
            <w:proofErr w:type="spellEnd"/>
            <w:r w:rsidRPr="002C3A5D">
              <w:t xml:space="preserve"> </w:t>
            </w:r>
            <w:proofErr w:type="spellStart"/>
            <w:r w:rsidRPr="002C3A5D">
              <w:t>су</w:t>
            </w:r>
            <w:proofErr w:type="spellEnd"/>
            <w:r w:rsidRPr="002C3A5D">
              <w:t xml:space="preserve"> </w:t>
            </w:r>
            <w:proofErr w:type="spellStart"/>
            <w:r w:rsidRPr="002C3A5D">
              <w:t>дужни</w:t>
            </w:r>
            <w:proofErr w:type="spellEnd"/>
            <w:r w:rsidRPr="002C3A5D">
              <w:t xml:space="preserve"> </w:t>
            </w:r>
            <w:proofErr w:type="spellStart"/>
            <w:r w:rsidRPr="002C3A5D">
              <w:t>то</w:t>
            </w:r>
            <w:proofErr w:type="spellEnd"/>
            <w:r w:rsidRPr="002C3A5D">
              <w:t xml:space="preserve"> </w:t>
            </w:r>
            <w:proofErr w:type="spellStart"/>
            <w:r w:rsidRPr="002C3A5D">
              <w:t>учинити</w:t>
            </w:r>
            <w:proofErr w:type="spellEnd"/>
            <w:r w:rsidRPr="002C3A5D">
              <w:t xml:space="preserve">, </w:t>
            </w:r>
            <w:proofErr w:type="spellStart"/>
            <w:r w:rsidRPr="002C3A5D">
              <w:t>не</w:t>
            </w:r>
            <w:proofErr w:type="spellEnd"/>
            <w:r w:rsidRPr="002C3A5D">
              <w:t xml:space="preserve"> </w:t>
            </w:r>
            <w:proofErr w:type="spellStart"/>
            <w:r w:rsidRPr="002C3A5D">
              <w:t>испуњавају</w:t>
            </w:r>
            <w:proofErr w:type="spellEnd"/>
            <w:r w:rsidRPr="002C3A5D">
              <w:t xml:space="preserve"> </w:t>
            </w:r>
            <w:proofErr w:type="spellStart"/>
            <w:r w:rsidRPr="002C3A5D">
              <w:t>у</w:t>
            </w:r>
            <w:r w:rsidR="00E40D86">
              <w:rPr>
                <w:rFonts w:cstheme="minorHAnsi"/>
              </w:rPr>
              <w:t>с</w:t>
            </w:r>
            <w:r w:rsidR="00E40D86">
              <w:rPr>
                <w:rFonts w:ascii="Calibri" w:hAnsi="Calibri" w:cs="Calibri"/>
              </w:rPr>
              <w:t>л</w:t>
            </w:r>
            <w:r w:rsidR="00E40D86">
              <w:rPr>
                <w:rFonts w:cstheme="minorHAnsi"/>
              </w:rPr>
              <w:t>о</w:t>
            </w:r>
            <w:r w:rsidR="00E40D86">
              <w:rPr>
                <w:rFonts w:ascii="Calibri" w:hAnsi="Calibri" w:cs="Calibri"/>
              </w:rPr>
              <w:t>в</w:t>
            </w:r>
            <w:r w:rsidR="00E40D86">
              <w:t>e</w:t>
            </w:r>
            <w:proofErr w:type="spellEnd"/>
            <w:r w:rsidRPr="002C3A5D">
              <w:t xml:space="preserve"> </w:t>
            </w:r>
            <w:proofErr w:type="spellStart"/>
            <w:r w:rsidRPr="002C3A5D">
              <w:t>за</w:t>
            </w:r>
            <w:proofErr w:type="spellEnd"/>
            <w:r w:rsidRPr="002C3A5D">
              <w:t xml:space="preserve"> </w:t>
            </w:r>
            <w:proofErr w:type="spellStart"/>
            <w:r w:rsidRPr="002C3A5D">
              <w:t>додјелу</w:t>
            </w:r>
            <w:proofErr w:type="spellEnd"/>
            <w:r w:rsidRPr="002C3A5D">
              <w:t xml:space="preserve"> </w:t>
            </w:r>
            <w:proofErr w:type="spellStart"/>
            <w:r w:rsidRPr="002C3A5D">
              <w:t>средстава</w:t>
            </w:r>
            <w:proofErr w:type="spellEnd"/>
            <w:r w:rsidRPr="002C3A5D">
              <w:t xml:space="preserve"> </w:t>
            </w:r>
            <w:proofErr w:type="spellStart"/>
            <w:r w:rsidRPr="002C3A5D">
              <w:t>по</w:t>
            </w:r>
            <w:proofErr w:type="spellEnd"/>
            <w:r w:rsidRPr="002C3A5D">
              <w:t xml:space="preserve"> </w:t>
            </w:r>
            <w:proofErr w:type="spellStart"/>
            <w:r w:rsidRPr="002C3A5D">
              <w:t>овом</w:t>
            </w:r>
            <w:proofErr w:type="spellEnd"/>
            <w:r w:rsidRPr="002C3A5D">
              <w:t xml:space="preserve"> </w:t>
            </w:r>
            <w:proofErr w:type="spellStart"/>
            <w:r w:rsidRPr="002C3A5D">
              <w:t>сталном</w:t>
            </w:r>
            <w:proofErr w:type="spellEnd"/>
            <w:r w:rsidRPr="002C3A5D">
              <w:t xml:space="preserve"> </w:t>
            </w:r>
            <w:proofErr w:type="spellStart"/>
            <w:r w:rsidRPr="002C3A5D">
              <w:t>јавном</w:t>
            </w:r>
            <w:proofErr w:type="spellEnd"/>
            <w:r w:rsidRPr="002C3A5D">
              <w:t xml:space="preserve"> </w:t>
            </w:r>
            <w:proofErr w:type="spellStart"/>
            <w:r w:rsidRPr="002C3A5D">
              <w:t>позиву</w:t>
            </w:r>
            <w:proofErr w:type="spellEnd"/>
            <w:r w:rsidRPr="002C3A5D">
              <w:t xml:space="preserve">, </w:t>
            </w:r>
            <w:proofErr w:type="spellStart"/>
            <w:r w:rsidRPr="002C3A5D">
              <w:t>те</w:t>
            </w:r>
            <w:proofErr w:type="spellEnd"/>
            <w:r w:rsidRPr="002C3A5D">
              <w:t xml:space="preserve"> </w:t>
            </w:r>
            <w:proofErr w:type="spellStart"/>
            <w:r w:rsidRPr="002C3A5D">
              <w:t>се</w:t>
            </w:r>
            <w:proofErr w:type="spellEnd"/>
            <w:r w:rsidRPr="002C3A5D">
              <w:t xml:space="preserve"> </w:t>
            </w:r>
            <w:proofErr w:type="spellStart"/>
            <w:r w:rsidRPr="002C3A5D">
              <w:t>њихове</w:t>
            </w:r>
            <w:proofErr w:type="spellEnd"/>
            <w:r w:rsidRPr="002C3A5D">
              <w:t xml:space="preserve"> </w:t>
            </w:r>
            <w:proofErr w:type="spellStart"/>
            <w:r w:rsidRPr="002C3A5D">
              <w:t>пријаве</w:t>
            </w:r>
            <w:proofErr w:type="spellEnd"/>
            <w:r w:rsidRPr="002C3A5D">
              <w:t xml:space="preserve"> </w:t>
            </w:r>
            <w:proofErr w:type="spellStart"/>
            <w:r w:rsidRPr="002C3A5D">
              <w:t>неће</w:t>
            </w:r>
            <w:proofErr w:type="spellEnd"/>
            <w:r w:rsidRPr="002C3A5D">
              <w:t xml:space="preserve"> </w:t>
            </w:r>
            <w:proofErr w:type="spellStart"/>
            <w:r w:rsidRPr="002C3A5D">
              <w:t>разматрати</w:t>
            </w:r>
            <w:proofErr w:type="spellEnd"/>
            <w:r>
              <w:t>;</w:t>
            </w:r>
          </w:p>
          <w:p w14:paraId="7D5611CD" w14:textId="77777777" w:rsidR="003B3437" w:rsidRDefault="003B3437" w:rsidP="00C05CC7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Пријаве</w:t>
            </w:r>
            <w:proofErr w:type="spellEnd"/>
            <w:r>
              <w:t xml:space="preserve"> </w:t>
            </w:r>
            <w:proofErr w:type="spellStart"/>
            <w:r>
              <w:t>поднесене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 w:rsidRPr="00161512">
              <w:t>подносиоц</w:t>
            </w:r>
            <w:r>
              <w:t>а</w:t>
            </w:r>
            <w:proofErr w:type="spellEnd"/>
            <w:r w:rsidRPr="00161512">
              <w:t xml:space="preserve"> </w:t>
            </w:r>
            <w:proofErr w:type="spellStart"/>
            <w:r w:rsidRPr="00161512">
              <w:t>пријава</w:t>
            </w:r>
            <w:proofErr w:type="spellEnd"/>
            <w:r w:rsidRPr="00161512">
              <w:t xml:space="preserve"> </w:t>
            </w:r>
            <w:proofErr w:type="spellStart"/>
            <w:r w:rsidRPr="00161512">
              <w:t>који</w:t>
            </w:r>
            <w:proofErr w:type="spellEnd"/>
            <w:r w:rsidRPr="00161512">
              <w:t xml:space="preserve"> </w:t>
            </w:r>
            <w:proofErr w:type="spellStart"/>
            <w:r w:rsidRPr="00161512">
              <w:rPr>
                <w:u w:val="single"/>
              </w:rPr>
              <w:t>не</w:t>
            </w:r>
            <w:proofErr w:type="spellEnd"/>
            <w:r w:rsidRPr="00161512">
              <w:rPr>
                <w:u w:val="single"/>
              </w:rPr>
              <w:t xml:space="preserve"> </w:t>
            </w:r>
            <w:proofErr w:type="spellStart"/>
            <w:r w:rsidRPr="00161512">
              <w:rPr>
                <w:u w:val="single"/>
              </w:rPr>
              <w:t>могу</w:t>
            </w:r>
            <w:proofErr w:type="spellEnd"/>
            <w:r w:rsidRPr="00161512">
              <w:t xml:space="preserve"> </w:t>
            </w:r>
            <w:proofErr w:type="spellStart"/>
            <w:r w:rsidRPr="00161512">
              <w:t>бити</w:t>
            </w:r>
            <w:proofErr w:type="spellEnd"/>
            <w:r w:rsidRPr="00161512">
              <w:t xml:space="preserve"> </w:t>
            </w:r>
            <w:proofErr w:type="spellStart"/>
            <w:r w:rsidRPr="00161512">
              <w:t>корисници</w:t>
            </w:r>
            <w:proofErr w:type="spellEnd"/>
            <w:r w:rsidRPr="00161512">
              <w:t xml:space="preserve"> </w:t>
            </w:r>
            <w:proofErr w:type="spellStart"/>
            <w:r w:rsidRPr="00161512">
              <w:t>средстава</w:t>
            </w:r>
            <w:proofErr w:type="spellEnd"/>
            <w:r w:rsidRPr="00161512">
              <w:t xml:space="preserve"> </w:t>
            </w:r>
            <w:proofErr w:type="spellStart"/>
            <w:r w:rsidRPr="00161512">
              <w:t>по</w:t>
            </w:r>
            <w:proofErr w:type="spellEnd"/>
            <w:r>
              <w:t xml:space="preserve"> </w:t>
            </w:r>
            <w:proofErr w:type="spellStart"/>
            <w:r>
              <w:t>овом</w:t>
            </w:r>
            <w:proofErr w:type="spellEnd"/>
            <w:r>
              <w:t xml:space="preserve"> </w:t>
            </w:r>
            <w:proofErr w:type="spellStart"/>
            <w:r>
              <w:t>сталном</w:t>
            </w:r>
            <w:proofErr w:type="spellEnd"/>
            <w:r>
              <w:t xml:space="preserve"> </w:t>
            </w:r>
            <w:proofErr w:type="spellStart"/>
            <w:r>
              <w:t>јавном</w:t>
            </w:r>
            <w:proofErr w:type="spellEnd"/>
            <w:r>
              <w:t xml:space="preserve"> </w:t>
            </w:r>
            <w:proofErr w:type="spellStart"/>
            <w:r>
              <w:t>позиву</w:t>
            </w:r>
            <w:proofErr w:type="spellEnd"/>
            <w:r>
              <w:t>;</w:t>
            </w:r>
          </w:p>
          <w:p w14:paraId="69F5EEAF" w14:textId="77777777" w:rsidR="003B3437" w:rsidRDefault="003B3437" w:rsidP="00C05CC7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Пријаве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утврди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нису</w:t>
            </w:r>
            <w:proofErr w:type="spellEnd"/>
            <w:r>
              <w:t xml:space="preserve"> </w:t>
            </w:r>
            <w:proofErr w:type="spellStart"/>
            <w:r>
              <w:t>испуниле</w:t>
            </w:r>
            <w:proofErr w:type="spellEnd"/>
            <w:r>
              <w:t xml:space="preserve"> </w:t>
            </w:r>
            <w:proofErr w:type="spellStart"/>
            <w:r>
              <w:t>опште</w:t>
            </w:r>
            <w:proofErr w:type="spellEnd"/>
            <w:r>
              <w:t xml:space="preserve"> </w:t>
            </w:r>
            <w:proofErr w:type="spellStart"/>
            <w:r>
              <w:t>услове</w:t>
            </w:r>
            <w:proofErr w:type="spellEnd"/>
            <w:r>
              <w:t xml:space="preserve"> </w:t>
            </w:r>
            <w:proofErr w:type="spellStart"/>
            <w:r>
              <w:t>прописане</w:t>
            </w:r>
            <w:proofErr w:type="spellEnd"/>
            <w:r>
              <w:t xml:space="preserve"> </w:t>
            </w:r>
            <w:proofErr w:type="spellStart"/>
            <w:r>
              <w:t>Сталним</w:t>
            </w:r>
            <w:proofErr w:type="spellEnd"/>
            <w:r>
              <w:t xml:space="preserve"> </w:t>
            </w:r>
            <w:proofErr w:type="spellStart"/>
            <w:r>
              <w:t>јавним</w:t>
            </w:r>
            <w:proofErr w:type="spellEnd"/>
            <w:r>
              <w:t xml:space="preserve"> </w:t>
            </w:r>
            <w:proofErr w:type="spellStart"/>
            <w:r>
              <w:t>позивом</w:t>
            </w:r>
            <w:proofErr w:type="spellEnd"/>
            <w:r>
              <w:t>;</w:t>
            </w:r>
          </w:p>
          <w:p w14:paraId="1AD2981A" w14:textId="77777777" w:rsidR="003B3437" w:rsidRDefault="003B3437" w:rsidP="00C05CC7">
            <w:pPr>
              <w:pStyle w:val="ListParagraph"/>
              <w:numPr>
                <w:ilvl w:val="0"/>
                <w:numId w:val="4"/>
              </w:numPr>
            </w:pPr>
            <w:proofErr w:type="spellStart"/>
            <w:r w:rsidRPr="00AF50BB">
              <w:t>Уколико</w:t>
            </w:r>
            <w:proofErr w:type="spellEnd"/>
            <w:r w:rsidRPr="00AF50BB">
              <w:t xml:space="preserve"> </w:t>
            </w:r>
            <w:proofErr w:type="spellStart"/>
            <w:r w:rsidRPr="00AF50BB">
              <w:t>подносилац</w:t>
            </w:r>
            <w:proofErr w:type="spellEnd"/>
            <w:r w:rsidRPr="00AF50BB">
              <w:t xml:space="preserve"> </w:t>
            </w:r>
            <w:proofErr w:type="spellStart"/>
            <w:r w:rsidRPr="00AF50BB">
              <w:t>пријаве</w:t>
            </w:r>
            <w:proofErr w:type="spellEnd"/>
            <w:r w:rsidRPr="00AF50BB">
              <w:t>/</w:t>
            </w:r>
            <w:proofErr w:type="spellStart"/>
            <w:r w:rsidRPr="00AF50BB">
              <w:t>захтјева</w:t>
            </w:r>
            <w:proofErr w:type="spellEnd"/>
            <w:r w:rsidRPr="00AF50BB">
              <w:t xml:space="preserve"> </w:t>
            </w:r>
            <w:proofErr w:type="spellStart"/>
            <w:r w:rsidRPr="00AF50BB">
              <w:t>који</w:t>
            </w:r>
            <w:proofErr w:type="spellEnd"/>
            <w:r w:rsidRPr="00AF50BB">
              <w:t xml:space="preserve"> </w:t>
            </w:r>
            <w:proofErr w:type="spellStart"/>
            <w:r w:rsidRPr="00AF50BB">
              <w:t>се</w:t>
            </w:r>
            <w:proofErr w:type="spellEnd"/>
            <w:r w:rsidRPr="00AF50BB">
              <w:t xml:space="preserve"> </w:t>
            </w:r>
            <w:proofErr w:type="spellStart"/>
            <w:r w:rsidRPr="00AF50BB">
              <w:t>пријављује</w:t>
            </w:r>
            <w:proofErr w:type="spellEnd"/>
            <w:r w:rsidRPr="00AF50BB">
              <w:t xml:space="preserve"> </w:t>
            </w:r>
            <w:proofErr w:type="spellStart"/>
            <w:r w:rsidRPr="00AF50BB">
              <w:t>на</w:t>
            </w:r>
            <w:proofErr w:type="spellEnd"/>
            <w:r w:rsidRPr="00AF50BB">
              <w:t xml:space="preserve"> </w:t>
            </w:r>
            <w:proofErr w:type="spellStart"/>
            <w:r>
              <w:t>Стални</w:t>
            </w:r>
            <w:proofErr w:type="spellEnd"/>
            <w:r>
              <w:t xml:space="preserve"> </w:t>
            </w:r>
            <w:proofErr w:type="spellStart"/>
            <w:r>
              <w:t>јавни</w:t>
            </w:r>
            <w:proofErr w:type="spellEnd"/>
            <w:r>
              <w:t xml:space="preserve"> </w:t>
            </w:r>
            <w:proofErr w:type="spellStart"/>
            <w:r>
              <w:t>позив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 w:rsidRPr="008C23F3">
              <w:t>Министарства</w:t>
            </w:r>
            <w:proofErr w:type="spellEnd"/>
            <w:r w:rsidRPr="008C23F3">
              <w:t xml:space="preserve"> </w:t>
            </w:r>
            <w:proofErr w:type="spellStart"/>
            <w:r w:rsidRPr="008C23F3">
              <w:t>тражи</w:t>
            </w:r>
            <w:proofErr w:type="spellEnd"/>
            <w:r w:rsidRPr="008C23F3">
              <w:t xml:space="preserve"> </w:t>
            </w:r>
            <w:proofErr w:type="spellStart"/>
            <w:r w:rsidRPr="008C23F3">
              <w:t>износ</w:t>
            </w:r>
            <w:proofErr w:type="spellEnd"/>
            <w:r w:rsidRPr="008C23F3">
              <w:t xml:space="preserve"> </w:t>
            </w:r>
            <w:proofErr w:type="spellStart"/>
            <w:r w:rsidRPr="008C23F3">
              <w:t>већи</w:t>
            </w:r>
            <w:proofErr w:type="spellEnd"/>
            <w:r w:rsidRPr="008C23F3">
              <w:t xml:space="preserve"> </w:t>
            </w:r>
            <w:proofErr w:type="spellStart"/>
            <w:r w:rsidRPr="008C23F3">
              <w:t>од</w:t>
            </w:r>
            <w:proofErr w:type="spellEnd"/>
            <w:r w:rsidRPr="008C23F3">
              <w:t xml:space="preserve"> </w:t>
            </w:r>
            <w:proofErr w:type="spellStart"/>
            <w:r w:rsidRPr="008C23F3">
              <w:t>максимално</w:t>
            </w:r>
            <w:proofErr w:type="spellEnd"/>
            <w:r w:rsidRPr="008C23F3">
              <w:t xml:space="preserve"> </w:t>
            </w:r>
            <w:proofErr w:type="spellStart"/>
            <w:r w:rsidRPr="008C23F3">
              <w:t>дозвољеног</w:t>
            </w:r>
            <w:proofErr w:type="spellEnd"/>
            <w:r w:rsidRPr="008C23F3">
              <w:t xml:space="preserve"> </w:t>
            </w:r>
            <w:proofErr w:type="spellStart"/>
            <w:r w:rsidRPr="008C23F3">
              <w:t>по</w:t>
            </w:r>
            <w:proofErr w:type="spellEnd"/>
            <w:r w:rsidRPr="008C23F3">
              <w:t xml:space="preserve"> </w:t>
            </w:r>
            <w:proofErr w:type="spellStart"/>
            <w:r w:rsidRPr="008C23F3">
              <w:t>пројекту</w:t>
            </w:r>
            <w:proofErr w:type="spellEnd"/>
            <w:r w:rsidRPr="008C23F3">
              <w:t xml:space="preserve"> у </w:t>
            </w:r>
            <w:proofErr w:type="spellStart"/>
            <w:r w:rsidRPr="008C23F3">
              <w:t>оквиру</w:t>
            </w:r>
            <w:proofErr w:type="spellEnd"/>
            <w:r w:rsidRPr="008C23F3">
              <w:t xml:space="preserve"> </w:t>
            </w:r>
            <w:proofErr w:type="spellStart"/>
            <w:r w:rsidRPr="008C23F3">
              <w:t>програма</w:t>
            </w:r>
            <w:proofErr w:type="spellEnd"/>
            <w:r w:rsidRPr="008C23F3">
              <w:t xml:space="preserve"> </w:t>
            </w:r>
            <w:proofErr w:type="spellStart"/>
            <w:r w:rsidRPr="008C23F3">
              <w:t>који</w:t>
            </w:r>
            <w:proofErr w:type="spellEnd"/>
            <w:r w:rsidRPr="008C23F3">
              <w:t xml:space="preserve"> </w:t>
            </w:r>
            <w:proofErr w:type="spellStart"/>
            <w:r w:rsidRPr="008C23F3">
              <w:t>се</w:t>
            </w:r>
            <w:proofErr w:type="spellEnd"/>
            <w:r w:rsidRPr="008C23F3">
              <w:t xml:space="preserve"> </w:t>
            </w:r>
            <w:proofErr w:type="spellStart"/>
            <w:r w:rsidRPr="008C23F3">
              <w:t>реализ</w:t>
            </w:r>
            <w:r>
              <w:t>ује</w:t>
            </w:r>
            <w:proofErr w:type="spellEnd"/>
            <w:r w:rsidRPr="008C23F3">
              <w:t xml:space="preserve"> </w:t>
            </w:r>
            <w:proofErr w:type="spellStart"/>
            <w:r w:rsidRPr="008C23F3">
              <w:t>путем</w:t>
            </w:r>
            <w:proofErr w:type="spellEnd"/>
            <w:r w:rsidRPr="008C23F3">
              <w:t xml:space="preserve"> </w:t>
            </w:r>
            <w:proofErr w:type="spellStart"/>
            <w:r w:rsidRPr="008C23F3">
              <w:t>Сталног</w:t>
            </w:r>
            <w:proofErr w:type="spellEnd"/>
            <w:r w:rsidRPr="008C23F3">
              <w:t xml:space="preserve"> </w:t>
            </w:r>
            <w:proofErr w:type="spellStart"/>
            <w:r w:rsidRPr="008C23F3">
              <w:t>јавног</w:t>
            </w:r>
            <w:proofErr w:type="spellEnd"/>
            <w:r w:rsidRPr="008C23F3">
              <w:t xml:space="preserve"> </w:t>
            </w:r>
            <w:proofErr w:type="spellStart"/>
            <w:r w:rsidRPr="008C23F3">
              <w:t>позива</w:t>
            </w:r>
            <w:proofErr w:type="spellEnd"/>
            <w:r w:rsidRPr="008C23F3">
              <w:t>;</w:t>
            </w:r>
          </w:p>
          <w:p w14:paraId="1C21DFD6" w14:textId="6F4913A7" w:rsidR="003B3437" w:rsidRDefault="003B3437" w:rsidP="00C05CC7">
            <w:proofErr w:type="spellStart"/>
            <w:r>
              <w:t>Пријаве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у </w:t>
            </w:r>
            <w:proofErr w:type="spellStart"/>
            <w:r>
              <w:t>процесу</w:t>
            </w:r>
            <w:proofErr w:type="spellEnd"/>
            <w:r>
              <w:t xml:space="preserve"> </w:t>
            </w:r>
            <w:proofErr w:type="spellStart"/>
            <w:r>
              <w:t>селекције</w:t>
            </w:r>
            <w:proofErr w:type="spellEnd"/>
            <w:r>
              <w:t xml:space="preserve"> </w:t>
            </w:r>
            <w:proofErr w:type="spellStart"/>
            <w:r>
              <w:t>утврди</w:t>
            </w:r>
            <w:proofErr w:type="spellEnd"/>
            <w:r>
              <w:t xml:space="preserve"> </w:t>
            </w:r>
            <w:proofErr w:type="spellStart"/>
            <w:r>
              <w:t>формални</w:t>
            </w:r>
            <w:proofErr w:type="spellEnd"/>
            <w:r>
              <w:t xml:space="preserve"> </w:t>
            </w:r>
            <w:proofErr w:type="spellStart"/>
            <w:r>
              <w:t>недостатак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r>
              <w:t>непотпуне</w:t>
            </w:r>
            <w:proofErr w:type="spellEnd"/>
            <w:r>
              <w:t xml:space="preserve">, а </w:t>
            </w:r>
            <w:proofErr w:type="spellStart"/>
            <w:r w:rsidRPr="00161512">
              <w:t>за</w:t>
            </w:r>
            <w:proofErr w:type="spellEnd"/>
            <w:r w:rsidRPr="00161512">
              <w:t xml:space="preserve"> </w:t>
            </w:r>
            <w:proofErr w:type="spellStart"/>
            <w:r w:rsidRPr="00161512">
              <w:t>који</w:t>
            </w:r>
            <w:proofErr w:type="spellEnd"/>
            <w:r w:rsidRPr="00161512">
              <w:t xml:space="preserve"> </w:t>
            </w:r>
            <w:proofErr w:type="spellStart"/>
            <w:r w:rsidRPr="00161512">
              <w:t>није</w:t>
            </w:r>
            <w:proofErr w:type="spellEnd"/>
            <w:r w:rsidRPr="00161512">
              <w:t xml:space="preserve"> у </w:t>
            </w:r>
            <w:proofErr w:type="spellStart"/>
            <w:r w:rsidRPr="00161512">
              <w:t>тексту</w:t>
            </w:r>
            <w:proofErr w:type="spellEnd"/>
            <w:r w:rsidRPr="00161512">
              <w:t xml:space="preserve"> </w:t>
            </w:r>
            <w:proofErr w:type="spellStart"/>
            <w:r>
              <w:t>Сталног</w:t>
            </w:r>
            <w:proofErr w:type="spellEnd"/>
            <w:r>
              <w:t xml:space="preserve"> </w:t>
            </w:r>
            <w:proofErr w:type="spellStart"/>
            <w:r>
              <w:t>ј</w:t>
            </w:r>
            <w:r w:rsidRPr="00161512">
              <w:t>авног</w:t>
            </w:r>
            <w:proofErr w:type="spellEnd"/>
            <w:r w:rsidRPr="00161512">
              <w:t xml:space="preserve"> </w:t>
            </w:r>
            <w:proofErr w:type="spellStart"/>
            <w:r w:rsidRPr="00161512">
              <w:t>позива</w:t>
            </w:r>
            <w:proofErr w:type="spellEnd"/>
            <w:r w:rsidRPr="00161512">
              <w:t xml:space="preserve"> и у </w:t>
            </w:r>
            <w:proofErr w:type="spellStart"/>
            <w:r w:rsidRPr="00161512">
              <w:t>овом</w:t>
            </w:r>
            <w:proofErr w:type="spellEnd"/>
            <w:r w:rsidRPr="00161512">
              <w:t xml:space="preserve"> </w:t>
            </w:r>
            <w:proofErr w:type="spellStart"/>
            <w:r w:rsidRPr="00161512">
              <w:t>упутству</w:t>
            </w:r>
            <w:proofErr w:type="spellEnd"/>
            <w:r w:rsidRPr="00161512">
              <w:t xml:space="preserve"> </w:t>
            </w:r>
            <w:proofErr w:type="spellStart"/>
            <w:r w:rsidRPr="00161512">
              <w:t>наведено</w:t>
            </w:r>
            <w:proofErr w:type="spellEnd"/>
            <w:r w:rsidRPr="00161512">
              <w:t xml:space="preserve"> </w:t>
            </w:r>
            <w:proofErr w:type="spellStart"/>
            <w:r w:rsidRPr="00161512">
              <w:t>да</w:t>
            </w:r>
            <w:proofErr w:type="spellEnd"/>
            <w:r w:rsidRPr="00161512">
              <w:t xml:space="preserve"> </w:t>
            </w:r>
            <w:proofErr w:type="spellStart"/>
            <w:r w:rsidRPr="00161512">
              <w:t>се</w:t>
            </w:r>
            <w:proofErr w:type="spellEnd"/>
            <w:r w:rsidRPr="00161512">
              <w:t xml:space="preserve"> </w:t>
            </w:r>
            <w:proofErr w:type="spellStart"/>
            <w:r w:rsidRPr="00161512">
              <w:t>може</w:t>
            </w:r>
            <w:proofErr w:type="spellEnd"/>
            <w:r w:rsidRPr="00161512">
              <w:t xml:space="preserve"> </w:t>
            </w:r>
            <w:proofErr w:type="spellStart"/>
            <w:r w:rsidRPr="00161512">
              <w:t>допуњавати</w:t>
            </w:r>
            <w:proofErr w:type="spellEnd"/>
            <w:r w:rsidR="00E40D86">
              <w:t>.</w:t>
            </w:r>
          </w:p>
          <w:p w14:paraId="0B128BB6" w14:textId="0B70CC24" w:rsidR="00161512" w:rsidRDefault="00161512" w:rsidP="00E84B58">
            <w:pPr>
              <w:pStyle w:val="ListParagraph"/>
              <w:numPr>
                <w:ilvl w:val="0"/>
                <w:numId w:val="4"/>
              </w:numPr>
            </w:pPr>
          </w:p>
        </w:tc>
      </w:tr>
      <w:tr w:rsidR="00E84B58" w14:paraId="30A94F1E" w14:textId="77777777" w:rsidTr="00E238D6">
        <w:trPr>
          <w:trHeight w:val="1275"/>
        </w:trPr>
        <w:tc>
          <w:tcPr>
            <w:tcW w:w="540" w:type="dxa"/>
            <w:shd w:val="clear" w:color="auto" w:fill="auto"/>
            <w:vAlign w:val="center"/>
          </w:tcPr>
          <w:p w14:paraId="16A1FF33" w14:textId="1470446F" w:rsidR="00E84B58" w:rsidRPr="00E238D6" w:rsidRDefault="00E84B58" w:rsidP="00E84B58">
            <w:r w:rsidRPr="00E238D6">
              <w:t>1</w:t>
            </w:r>
            <w:r w:rsidR="00486483" w:rsidRPr="00E238D6">
              <w:t>2</w:t>
            </w:r>
            <w:r w:rsidR="00161512" w:rsidRPr="00E238D6">
              <w:t>.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7FA8FC2" w14:textId="2D4D2064" w:rsidR="00E84B58" w:rsidRPr="00E238D6" w:rsidRDefault="007B3F39" w:rsidP="00E84B58">
            <w:proofErr w:type="spellStart"/>
            <w:r w:rsidRPr="00E238D6">
              <w:t>Опис</w:t>
            </w:r>
            <w:proofErr w:type="spellEnd"/>
            <w:r w:rsidRPr="00E238D6">
              <w:t xml:space="preserve"> </w:t>
            </w:r>
            <w:proofErr w:type="spellStart"/>
            <w:r w:rsidRPr="00E238D6">
              <w:t>поступка</w:t>
            </w:r>
            <w:proofErr w:type="spellEnd"/>
            <w:r w:rsidRPr="00E238D6">
              <w:t xml:space="preserve"> </w:t>
            </w:r>
            <w:proofErr w:type="spellStart"/>
            <w:r w:rsidRPr="00E238D6">
              <w:t>административне</w:t>
            </w:r>
            <w:proofErr w:type="spellEnd"/>
            <w:r w:rsidRPr="00E238D6">
              <w:t xml:space="preserve"> </w:t>
            </w:r>
            <w:proofErr w:type="spellStart"/>
            <w:r w:rsidRPr="00E238D6">
              <w:t>провјере</w:t>
            </w:r>
            <w:proofErr w:type="spellEnd"/>
            <w:r w:rsidRPr="00E238D6">
              <w:t xml:space="preserve"> (</w:t>
            </w:r>
            <w:proofErr w:type="spellStart"/>
            <w:r w:rsidRPr="00E238D6">
              <w:t>селекције</w:t>
            </w:r>
            <w:proofErr w:type="spellEnd"/>
            <w:r w:rsidRPr="00E238D6">
              <w:t xml:space="preserve">) </w:t>
            </w:r>
            <w:proofErr w:type="spellStart"/>
            <w:r w:rsidRPr="00E238D6">
              <w:t>пријаве</w:t>
            </w:r>
            <w:proofErr w:type="spellEnd"/>
            <w:r w:rsidRPr="00E238D6">
              <w:t xml:space="preserve"> (</w:t>
            </w:r>
            <w:proofErr w:type="spellStart"/>
            <w:r w:rsidRPr="00E238D6">
              <w:t>услови</w:t>
            </w:r>
            <w:proofErr w:type="spellEnd"/>
            <w:r w:rsidRPr="00E238D6">
              <w:t xml:space="preserve"> </w:t>
            </w:r>
            <w:proofErr w:type="spellStart"/>
            <w:r w:rsidRPr="00E238D6">
              <w:t>које</w:t>
            </w:r>
            <w:proofErr w:type="spellEnd"/>
            <w:r w:rsidRPr="00E238D6">
              <w:t xml:space="preserve"> </w:t>
            </w:r>
            <w:proofErr w:type="spellStart"/>
            <w:r w:rsidRPr="00E238D6">
              <w:t>подносиоци</w:t>
            </w:r>
            <w:proofErr w:type="spellEnd"/>
            <w:r w:rsidRPr="00E238D6">
              <w:t xml:space="preserve"> </w:t>
            </w:r>
            <w:proofErr w:type="spellStart"/>
            <w:r w:rsidRPr="00E238D6">
              <w:t>пријаве</w:t>
            </w:r>
            <w:proofErr w:type="spellEnd"/>
            <w:r w:rsidRPr="00E238D6">
              <w:t xml:space="preserve"> </w:t>
            </w:r>
            <w:proofErr w:type="spellStart"/>
            <w:r w:rsidRPr="00E238D6">
              <w:t>требају</w:t>
            </w:r>
            <w:proofErr w:type="spellEnd"/>
            <w:r w:rsidRPr="00E238D6">
              <w:t xml:space="preserve"> </w:t>
            </w:r>
            <w:proofErr w:type="spellStart"/>
            <w:r w:rsidRPr="00E238D6">
              <w:t>задовољавати</w:t>
            </w:r>
            <w:proofErr w:type="spellEnd"/>
            <w:r w:rsidRPr="00E238D6">
              <w:t xml:space="preserve"> </w:t>
            </w:r>
            <w:proofErr w:type="spellStart"/>
            <w:r w:rsidRPr="00E238D6">
              <w:t>како</w:t>
            </w:r>
            <w:proofErr w:type="spellEnd"/>
            <w:r w:rsidRPr="00E238D6">
              <w:t xml:space="preserve"> </w:t>
            </w:r>
            <w:proofErr w:type="spellStart"/>
            <w:r w:rsidRPr="00E238D6">
              <w:t>би</w:t>
            </w:r>
            <w:proofErr w:type="spellEnd"/>
            <w:r w:rsidRPr="00E238D6">
              <w:t xml:space="preserve"> </w:t>
            </w:r>
            <w:proofErr w:type="spellStart"/>
            <w:r w:rsidRPr="00E238D6">
              <w:t>могли</w:t>
            </w:r>
            <w:proofErr w:type="spellEnd"/>
            <w:r w:rsidRPr="00E238D6">
              <w:t xml:space="preserve"> </w:t>
            </w:r>
            <w:proofErr w:type="spellStart"/>
            <w:r w:rsidRPr="00E238D6">
              <w:lastRenderedPageBreak/>
              <w:t>бити</w:t>
            </w:r>
            <w:proofErr w:type="spellEnd"/>
            <w:r w:rsidRPr="00E238D6">
              <w:t xml:space="preserve"> </w:t>
            </w:r>
            <w:proofErr w:type="spellStart"/>
            <w:r w:rsidRPr="00E238D6">
              <w:t>разматрани</w:t>
            </w:r>
            <w:proofErr w:type="spellEnd"/>
            <w:r w:rsidRPr="00E238D6">
              <w:t xml:space="preserve"> </w:t>
            </w:r>
            <w:proofErr w:type="spellStart"/>
            <w:r w:rsidRPr="00E238D6">
              <w:t>за</w:t>
            </w:r>
            <w:proofErr w:type="spellEnd"/>
            <w:r w:rsidRPr="00E238D6">
              <w:t xml:space="preserve"> </w:t>
            </w:r>
            <w:proofErr w:type="spellStart"/>
            <w:r w:rsidRPr="00E238D6">
              <w:t>додјелу</w:t>
            </w:r>
            <w:proofErr w:type="spellEnd"/>
            <w:r w:rsidRPr="00E238D6">
              <w:t xml:space="preserve"> </w:t>
            </w:r>
            <w:proofErr w:type="spellStart"/>
            <w:r w:rsidRPr="00E238D6">
              <w:t>буџетских</w:t>
            </w:r>
            <w:proofErr w:type="spellEnd"/>
            <w:r w:rsidRPr="00E238D6">
              <w:t xml:space="preserve"> </w:t>
            </w:r>
            <w:proofErr w:type="spellStart"/>
            <w:r w:rsidRPr="00E238D6">
              <w:t>средстава</w:t>
            </w:r>
            <w:proofErr w:type="spellEnd"/>
            <w:r w:rsidRPr="00E238D6">
              <w:t>)</w:t>
            </w:r>
          </w:p>
        </w:tc>
        <w:tc>
          <w:tcPr>
            <w:tcW w:w="6390" w:type="dxa"/>
            <w:vAlign w:val="center"/>
          </w:tcPr>
          <w:p w14:paraId="54695B30" w14:textId="77777777" w:rsidR="007B3F39" w:rsidRDefault="007B3F39" w:rsidP="00567214">
            <w:pPr>
              <w:pStyle w:val="ListParagraph"/>
              <w:numPr>
                <w:ilvl w:val="0"/>
                <w:numId w:val="2"/>
              </w:numPr>
              <w:ind w:left="342"/>
            </w:pPr>
            <w:proofErr w:type="spellStart"/>
            <w:r w:rsidRPr="008C23F3">
              <w:lastRenderedPageBreak/>
              <w:t>Административном</w:t>
            </w:r>
            <w:proofErr w:type="spellEnd"/>
            <w:r w:rsidRPr="008C23F3">
              <w:t xml:space="preserve"> </w:t>
            </w:r>
            <w:proofErr w:type="spellStart"/>
            <w:r w:rsidRPr="008C23F3">
              <w:t>провјером</w:t>
            </w:r>
            <w:proofErr w:type="spellEnd"/>
            <w:r w:rsidRPr="008C23F3">
              <w:t xml:space="preserve"> </w:t>
            </w:r>
            <w:proofErr w:type="spellStart"/>
            <w:r w:rsidRPr="008C23F3">
              <w:t>се</w:t>
            </w:r>
            <w:proofErr w:type="spellEnd"/>
            <w:r w:rsidRPr="008C23F3">
              <w:t xml:space="preserve"> </w:t>
            </w:r>
            <w:proofErr w:type="spellStart"/>
            <w:r w:rsidRPr="008C23F3">
              <w:t>утврђује</w:t>
            </w:r>
            <w:proofErr w:type="spellEnd"/>
            <w:r w:rsidRPr="008C23F3">
              <w:t xml:space="preserve"> </w:t>
            </w:r>
            <w:proofErr w:type="spellStart"/>
            <w:r w:rsidRPr="008C23F3">
              <w:t>испуњавање</w:t>
            </w:r>
            <w:proofErr w:type="spellEnd"/>
            <w:r w:rsidRPr="008C23F3">
              <w:t xml:space="preserve"> </w:t>
            </w:r>
            <w:proofErr w:type="spellStart"/>
            <w:r w:rsidRPr="008C23F3">
              <w:t>оп</w:t>
            </w:r>
            <w:r>
              <w:t>шт</w:t>
            </w:r>
            <w:r w:rsidRPr="008C23F3">
              <w:t>их</w:t>
            </w:r>
            <w:proofErr w:type="spellEnd"/>
            <w:r w:rsidRPr="008C23F3">
              <w:t xml:space="preserve"> </w:t>
            </w:r>
            <w:proofErr w:type="spellStart"/>
            <w:r w:rsidRPr="008C23F3">
              <w:t>услова</w:t>
            </w:r>
            <w:proofErr w:type="spellEnd"/>
            <w:r w:rsidRPr="008C23F3">
              <w:t xml:space="preserve"> и </w:t>
            </w:r>
            <w:proofErr w:type="spellStart"/>
            <w:r>
              <w:t>критерија</w:t>
            </w:r>
            <w:proofErr w:type="spellEnd"/>
            <w:r>
              <w:t xml:space="preserve"> </w:t>
            </w:r>
            <w:proofErr w:type="spellStart"/>
            <w:r>
              <w:t>Сталног</w:t>
            </w:r>
            <w:proofErr w:type="spellEnd"/>
            <w:r>
              <w:t xml:space="preserve"> </w:t>
            </w:r>
            <w:proofErr w:type="spellStart"/>
            <w:r>
              <w:t>јавног</w:t>
            </w:r>
            <w:proofErr w:type="spellEnd"/>
            <w:r>
              <w:t xml:space="preserve"> </w:t>
            </w:r>
            <w:proofErr w:type="spellStart"/>
            <w:r>
              <w:t>позива</w:t>
            </w:r>
            <w:proofErr w:type="spellEnd"/>
            <w:r>
              <w:t xml:space="preserve"> у </w:t>
            </w:r>
            <w:proofErr w:type="spellStart"/>
            <w:r>
              <w:t>смислу</w:t>
            </w:r>
            <w:proofErr w:type="spellEnd"/>
            <w:r>
              <w:t xml:space="preserve"> </w:t>
            </w:r>
            <w:proofErr w:type="spellStart"/>
            <w:r>
              <w:t>одговарајућих</w:t>
            </w:r>
            <w:proofErr w:type="spellEnd"/>
            <w:r>
              <w:t xml:space="preserve"> </w:t>
            </w:r>
            <w:proofErr w:type="spellStart"/>
            <w:r>
              <w:t>корисника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програмима</w:t>
            </w:r>
            <w:proofErr w:type="spellEnd"/>
            <w:r>
              <w:t xml:space="preserve">,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ли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пријава</w:t>
            </w:r>
            <w:proofErr w:type="spellEnd"/>
            <w:r>
              <w:t xml:space="preserve"> </w:t>
            </w:r>
            <w:proofErr w:type="spellStart"/>
            <w:r>
              <w:t>благовремена</w:t>
            </w:r>
            <w:proofErr w:type="spellEnd"/>
            <w:r>
              <w:t xml:space="preserve"> и </w:t>
            </w:r>
            <w:proofErr w:type="spellStart"/>
            <w:r>
              <w:t>потпуна</w:t>
            </w:r>
            <w:proofErr w:type="spellEnd"/>
            <w:r>
              <w:t xml:space="preserve">,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ли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поднесена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одговарајућем</w:t>
            </w:r>
            <w:proofErr w:type="spellEnd"/>
            <w:r>
              <w:t xml:space="preserve"> </w:t>
            </w:r>
            <w:proofErr w:type="spellStart"/>
            <w:r>
              <w:t>обрасцу</w:t>
            </w:r>
            <w:proofErr w:type="spellEnd"/>
            <w:r>
              <w:t xml:space="preserve">,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ли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достављена</w:t>
            </w:r>
            <w:proofErr w:type="spellEnd"/>
            <w:r>
              <w:t xml:space="preserve"> </w:t>
            </w:r>
            <w:proofErr w:type="spellStart"/>
            <w:r>
              <w:t>сва</w:t>
            </w:r>
            <w:proofErr w:type="spellEnd"/>
            <w:r>
              <w:t xml:space="preserve"> </w:t>
            </w:r>
            <w:proofErr w:type="spellStart"/>
            <w:r>
              <w:t>тражена</w:t>
            </w:r>
            <w:proofErr w:type="spellEnd"/>
            <w:r>
              <w:t xml:space="preserve"> </w:t>
            </w:r>
            <w:proofErr w:type="spellStart"/>
            <w:r>
              <w:t>документација</w:t>
            </w:r>
            <w:proofErr w:type="spellEnd"/>
            <w:r>
              <w:t xml:space="preserve"> у </w:t>
            </w:r>
            <w:proofErr w:type="spellStart"/>
            <w:r>
              <w:t>тексту</w:t>
            </w:r>
            <w:proofErr w:type="spellEnd"/>
            <w:r>
              <w:t xml:space="preserve"> </w:t>
            </w:r>
            <w:proofErr w:type="spellStart"/>
            <w:r>
              <w:t>Сталног</w:t>
            </w:r>
            <w:proofErr w:type="spellEnd"/>
            <w:r>
              <w:t xml:space="preserve"> </w:t>
            </w:r>
            <w:proofErr w:type="spellStart"/>
            <w:r>
              <w:t>јавног</w:t>
            </w:r>
            <w:proofErr w:type="spellEnd"/>
            <w:r>
              <w:t xml:space="preserve"> </w:t>
            </w:r>
            <w:proofErr w:type="spellStart"/>
            <w:r>
              <w:t>позива</w:t>
            </w:r>
            <w:proofErr w:type="spellEnd"/>
            <w:r>
              <w:t xml:space="preserve"> и </w:t>
            </w:r>
            <w:proofErr w:type="spellStart"/>
            <w:r>
              <w:t>обрасцу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Захтјева</w:t>
            </w:r>
            <w:proofErr w:type="spellEnd"/>
            <w:r>
              <w:t xml:space="preserve"> и </w:t>
            </w:r>
            <w:proofErr w:type="spellStart"/>
            <w:r>
              <w:t>други</w:t>
            </w:r>
            <w:proofErr w:type="spellEnd"/>
            <w:r>
              <w:t xml:space="preserve"> </w:t>
            </w:r>
            <w:proofErr w:type="spellStart"/>
            <w:r>
              <w:t>услови</w:t>
            </w:r>
            <w:proofErr w:type="spellEnd"/>
            <w:r>
              <w:t xml:space="preserve"> </w:t>
            </w:r>
            <w:proofErr w:type="spellStart"/>
            <w:r>
              <w:t>наведени</w:t>
            </w:r>
            <w:proofErr w:type="spellEnd"/>
            <w:r>
              <w:t xml:space="preserve"> у </w:t>
            </w:r>
            <w:proofErr w:type="spellStart"/>
            <w:r>
              <w:t>тексту</w:t>
            </w:r>
            <w:proofErr w:type="spellEnd"/>
            <w:r>
              <w:t xml:space="preserve"> </w:t>
            </w:r>
            <w:proofErr w:type="spellStart"/>
            <w:r>
              <w:t>Сталног</w:t>
            </w:r>
            <w:proofErr w:type="spellEnd"/>
            <w:r>
              <w:t xml:space="preserve"> </w:t>
            </w:r>
            <w:proofErr w:type="spellStart"/>
            <w:r>
              <w:t>јавног</w:t>
            </w:r>
            <w:proofErr w:type="spellEnd"/>
            <w:r>
              <w:t xml:space="preserve"> </w:t>
            </w:r>
            <w:proofErr w:type="spellStart"/>
            <w:r>
              <w:t>позива</w:t>
            </w:r>
            <w:proofErr w:type="spellEnd"/>
            <w:r>
              <w:t xml:space="preserve">, </w:t>
            </w:r>
            <w:proofErr w:type="spellStart"/>
            <w:r>
              <w:t>обрасцу</w:t>
            </w:r>
            <w:proofErr w:type="spellEnd"/>
            <w:r>
              <w:t xml:space="preserve"> </w:t>
            </w:r>
            <w:proofErr w:type="spellStart"/>
            <w:r>
              <w:t>Захтјева</w:t>
            </w:r>
            <w:proofErr w:type="spellEnd"/>
            <w:r>
              <w:t xml:space="preserve"> и </w:t>
            </w:r>
            <w:proofErr w:type="spellStart"/>
            <w:r>
              <w:t>овом</w:t>
            </w:r>
            <w:proofErr w:type="spellEnd"/>
            <w:r>
              <w:t xml:space="preserve"> </w:t>
            </w:r>
            <w:proofErr w:type="spellStart"/>
            <w:r>
              <w:t>Упутству</w:t>
            </w:r>
            <w:proofErr w:type="spellEnd"/>
            <w:r>
              <w:t xml:space="preserve">. </w:t>
            </w:r>
            <w:proofErr w:type="spellStart"/>
            <w:r>
              <w:t>Дакле</w:t>
            </w:r>
            <w:proofErr w:type="spellEnd"/>
            <w:r>
              <w:t xml:space="preserve">, у </w:t>
            </w:r>
            <w:proofErr w:type="spellStart"/>
            <w:r>
              <w:t>овој</w:t>
            </w:r>
            <w:proofErr w:type="spellEnd"/>
            <w:r>
              <w:t xml:space="preserve"> </w:t>
            </w:r>
            <w:proofErr w:type="spellStart"/>
            <w:r>
              <w:t>фази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провјерава</w:t>
            </w:r>
            <w:proofErr w:type="spellEnd"/>
            <w:r>
              <w:t xml:space="preserve"> </w:t>
            </w:r>
            <w:proofErr w:type="spellStart"/>
            <w:r>
              <w:t>испуњеност</w:t>
            </w:r>
            <w:proofErr w:type="spellEnd"/>
            <w:r>
              <w:t xml:space="preserve"> </w:t>
            </w:r>
            <w:proofErr w:type="spellStart"/>
            <w:r>
              <w:t>формално-правних</w:t>
            </w:r>
            <w:proofErr w:type="spellEnd"/>
            <w:r>
              <w:t xml:space="preserve"> </w:t>
            </w:r>
            <w:proofErr w:type="spellStart"/>
            <w:r>
              <w:t>услова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приступање</w:t>
            </w:r>
            <w:proofErr w:type="spellEnd"/>
            <w:r>
              <w:t xml:space="preserve"> </w:t>
            </w:r>
            <w:proofErr w:type="spellStart"/>
            <w:r>
              <w:t>сљедећој</w:t>
            </w:r>
            <w:proofErr w:type="spellEnd"/>
            <w:r>
              <w:t xml:space="preserve"> </w:t>
            </w:r>
            <w:proofErr w:type="spellStart"/>
            <w:r>
              <w:t>фази</w:t>
            </w:r>
            <w:proofErr w:type="spellEnd"/>
            <w:r>
              <w:t xml:space="preserve">, </w:t>
            </w:r>
            <w:proofErr w:type="spellStart"/>
            <w:r>
              <w:t>која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односи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оцјењивање</w:t>
            </w:r>
            <w:proofErr w:type="spellEnd"/>
            <w:r>
              <w:t xml:space="preserve"> </w:t>
            </w:r>
            <w:proofErr w:type="spellStart"/>
            <w:r>
              <w:t>пројеката</w:t>
            </w:r>
            <w:proofErr w:type="spellEnd"/>
            <w:r>
              <w:t>.</w:t>
            </w:r>
          </w:p>
          <w:p w14:paraId="68DC2524" w14:textId="77777777" w:rsidR="007B3F39" w:rsidRPr="00D07C20" w:rsidRDefault="007B3F39" w:rsidP="00567214">
            <w:pPr>
              <w:pStyle w:val="ListParagraph"/>
              <w:numPr>
                <w:ilvl w:val="0"/>
                <w:numId w:val="2"/>
              </w:numPr>
              <w:ind w:left="342"/>
            </w:pPr>
            <w:proofErr w:type="spellStart"/>
            <w:r w:rsidRPr="008C23F3">
              <w:rPr>
                <w:lang w:val="hr-HR"/>
              </w:rPr>
              <w:t>Уколико</w:t>
            </w:r>
            <w:proofErr w:type="spellEnd"/>
            <w:r w:rsidRPr="008C23F3">
              <w:rPr>
                <w:lang w:val="hr-HR"/>
              </w:rPr>
              <w:t xml:space="preserve"> </w:t>
            </w:r>
            <w:proofErr w:type="spellStart"/>
            <w:r w:rsidRPr="008C23F3">
              <w:rPr>
                <w:lang w:val="hr-HR"/>
              </w:rPr>
              <w:t>се</w:t>
            </w:r>
            <w:proofErr w:type="spellEnd"/>
            <w:r w:rsidRPr="008C23F3">
              <w:rPr>
                <w:lang w:val="hr-HR"/>
              </w:rPr>
              <w:t xml:space="preserve"> </w:t>
            </w:r>
            <w:proofErr w:type="spellStart"/>
            <w:r w:rsidRPr="008C23F3">
              <w:rPr>
                <w:lang w:val="hr-HR"/>
              </w:rPr>
              <w:t>приликом</w:t>
            </w:r>
            <w:proofErr w:type="spellEnd"/>
            <w:r w:rsidRPr="008C23F3">
              <w:rPr>
                <w:lang w:val="hr-HR"/>
              </w:rPr>
              <w:t xml:space="preserve"> </w:t>
            </w:r>
            <w:proofErr w:type="spellStart"/>
            <w:r w:rsidRPr="008C23F3">
              <w:rPr>
                <w:lang w:val="hr-HR"/>
              </w:rPr>
              <w:t>селекције</w:t>
            </w:r>
            <w:proofErr w:type="spellEnd"/>
            <w:r w:rsidRPr="008C23F3">
              <w:rPr>
                <w:lang w:val="hr-HR"/>
              </w:rPr>
              <w:t xml:space="preserve"> </w:t>
            </w:r>
            <w:proofErr w:type="spellStart"/>
            <w:r w:rsidRPr="008C23F3">
              <w:rPr>
                <w:lang w:val="hr-HR"/>
              </w:rPr>
              <w:t>утврди</w:t>
            </w:r>
            <w:proofErr w:type="spellEnd"/>
            <w:r w:rsidRPr="008C23F3">
              <w:rPr>
                <w:lang w:val="hr-HR"/>
              </w:rPr>
              <w:t xml:space="preserve"> </w:t>
            </w:r>
            <w:proofErr w:type="spellStart"/>
            <w:r w:rsidRPr="008C23F3">
              <w:rPr>
                <w:lang w:val="hr-HR"/>
              </w:rPr>
              <w:t>формални</w:t>
            </w:r>
            <w:proofErr w:type="spellEnd"/>
            <w:r w:rsidRPr="008C23F3">
              <w:rPr>
                <w:lang w:val="hr-HR"/>
              </w:rPr>
              <w:t xml:space="preserve"> </w:t>
            </w:r>
            <w:proofErr w:type="spellStart"/>
            <w:r w:rsidRPr="008C23F3">
              <w:rPr>
                <w:lang w:val="hr-HR"/>
              </w:rPr>
              <w:t>недостатак</w:t>
            </w:r>
            <w:proofErr w:type="spellEnd"/>
            <w:r w:rsidRPr="008C23F3">
              <w:rPr>
                <w:lang w:val="hr-HR"/>
              </w:rPr>
              <w:t xml:space="preserve">, </w:t>
            </w:r>
            <w:proofErr w:type="spellStart"/>
            <w:r w:rsidRPr="008C23F3">
              <w:rPr>
                <w:lang w:val="hr-HR"/>
              </w:rPr>
              <w:t>за</w:t>
            </w:r>
            <w:proofErr w:type="spellEnd"/>
            <w:r w:rsidRPr="008C23F3">
              <w:rPr>
                <w:lang w:val="hr-HR"/>
              </w:rPr>
              <w:t xml:space="preserve"> </w:t>
            </w:r>
            <w:proofErr w:type="spellStart"/>
            <w:r w:rsidRPr="008C23F3">
              <w:rPr>
                <w:lang w:val="hr-HR"/>
              </w:rPr>
              <w:t>који</w:t>
            </w:r>
            <w:proofErr w:type="spellEnd"/>
            <w:r w:rsidRPr="008C23F3">
              <w:rPr>
                <w:lang w:val="hr-HR"/>
              </w:rPr>
              <w:t xml:space="preserve"> </w:t>
            </w:r>
            <w:proofErr w:type="spellStart"/>
            <w:r w:rsidRPr="008C23F3">
              <w:rPr>
                <w:lang w:val="hr-HR"/>
              </w:rPr>
              <w:t>је</w:t>
            </w:r>
            <w:proofErr w:type="spellEnd"/>
            <w:r w:rsidRPr="008C23F3">
              <w:rPr>
                <w:lang w:val="hr-HR"/>
              </w:rPr>
              <w:t xml:space="preserve"> у </w:t>
            </w:r>
            <w:proofErr w:type="spellStart"/>
            <w:r w:rsidRPr="008C23F3">
              <w:rPr>
                <w:lang w:val="hr-HR"/>
              </w:rPr>
              <w:t>тексту</w:t>
            </w:r>
            <w:proofErr w:type="spellEnd"/>
            <w:r w:rsidRPr="008C23F3">
              <w:rPr>
                <w:lang w:val="hr-HR"/>
              </w:rPr>
              <w:t xml:space="preserve"> </w:t>
            </w:r>
            <w:proofErr w:type="spellStart"/>
            <w:r w:rsidRPr="008C23F3">
              <w:rPr>
                <w:lang w:val="hr-HR"/>
              </w:rPr>
              <w:t>Сталног</w:t>
            </w:r>
            <w:proofErr w:type="spellEnd"/>
            <w:r w:rsidRPr="008C23F3">
              <w:rPr>
                <w:lang w:val="hr-HR"/>
              </w:rPr>
              <w:t xml:space="preserve"> </w:t>
            </w:r>
            <w:proofErr w:type="spellStart"/>
            <w:r w:rsidRPr="008C23F3">
              <w:rPr>
                <w:lang w:val="hr-HR"/>
              </w:rPr>
              <w:t>јавног</w:t>
            </w:r>
            <w:proofErr w:type="spellEnd"/>
            <w:r w:rsidRPr="008C23F3">
              <w:rPr>
                <w:lang w:val="hr-HR"/>
              </w:rPr>
              <w:t xml:space="preserve"> </w:t>
            </w:r>
            <w:proofErr w:type="spellStart"/>
            <w:r w:rsidRPr="008C23F3">
              <w:rPr>
                <w:lang w:val="hr-HR"/>
              </w:rPr>
              <w:t>позива</w:t>
            </w:r>
            <w:proofErr w:type="spellEnd"/>
            <w:r w:rsidRPr="008C23F3">
              <w:rPr>
                <w:lang w:val="hr-HR"/>
              </w:rPr>
              <w:t xml:space="preserve"> и/</w:t>
            </w:r>
            <w:proofErr w:type="spellStart"/>
            <w:r w:rsidRPr="008C23F3">
              <w:rPr>
                <w:lang w:val="hr-HR"/>
              </w:rPr>
              <w:t>или</w:t>
            </w:r>
            <w:proofErr w:type="spellEnd"/>
            <w:r w:rsidRPr="008C23F3">
              <w:rPr>
                <w:lang w:val="hr-HR"/>
              </w:rPr>
              <w:t xml:space="preserve"> у </w:t>
            </w:r>
            <w:proofErr w:type="spellStart"/>
            <w:r w:rsidRPr="008C23F3">
              <w:rPr>
                <w:lang w:val="hr-HR"/>
              </w:rPr>
              <w:t>овом</w:t>
            </w:r>
            <w:proofErr w:type="spellEnd"/>
            <w:r w:rsidRPr="008C23F3">
              <w:rPr>
                <w:lang w:val="hr-HR"/>
              </w:rPr>
              <w:t xml:space="preserve"> </w:t>
            </w:r>
            <w:proofErr w:type="spellStart"/>
            <w:r w:rsidRPr="008C23F3">
              <w:rPr>
                <w:lang w:val="hr-HR"/>
              </w:rPr>
              <w:t>упутству</w:t>
            </w:r>
            <w:proofErr w:type="spellEnd"/>
            <w:r w:rsidRPr="008C23F3">
              <w:rPr>
                <w:lang w:val="hr-HR"/>
              </w:rPr>
              <w:t xml:space="preserve"> </w:t>
            </w:r>
            <w:proofErr w:type="spellStart"/>
            <w:r w:rsidRPr="008C23F3">
              <w:rPr>
                <w:lang w:val="hr-HR"/>
              </w:rPr>
              <w:t>наведено</w:t>
            </w:r>
            <w:proofErr w:type="spellEnd"/>
            <w:r w:rsidRPr="008C23F3">
              <w:rPr>
                <w:lang w:val="hr-HR"/>
              </w:rPr>
              <w:t xml:space="preserve"> </w:t>
            </w:r>
            <w:proofErr w:type="spellStart"/>
            <w:r w:rsidRPr="008C23F3">
              <w:rPr>
                <w:lang w:val="hr-HR"/>
              </w:rPr>
              <w:t>да</w:t>
            </w:r>
            <w:proofErr w:type="spellEnd"/>
            <w:r w:rsidRPr="008C23F3">
              <w:rPr>
                <w:lang w:val="hr-HR"/>
              </w:rPr>
              <w:t xml:space="preserve"> </w:t>
            </w:r>
            <w:proofErr w:type="spellStart"/>
            <w:r w:rsidRPr="008C23F3">
              <w:rPr>
                <w:lang w:val="hr-HR"/>
              </w:rPr>
              <w:t>се</w:t>
            </w:r>
            <w:proofErr w:type="spellEnd"/>
            <w:r w:rsidRPr="008C23F3">
              <w:rPr>
                <w:lang w:val="hr-HR"/>
              </w:rPr>
              <w:t xml:space="preserve"> </w:t>
            </w:r>
            <w:proofErr w:type="spellStart"/>
            <w:r w:rsidRPr="008C23F3">
              <w:rPr>
                <w:lang w:val="hr-HR"/>
              </w:rPr>
              <w:t>може</w:t>
            </w:r>
            <w:proofErr w:type="spellEnd"/>
            <w:r w:rsidRPr="008C23F3">
              <w:rPr>
                <w:lang w:val="hr-HR"/>
              </w:rPr>
              <w:t xml:space="preserve"> </w:t>
            </w:r>
            <w:proofErr w:type="spellStart"/>
            <w:r w:rsidRPr="008C23F3">
              <w:rPr>
                <w:lang w:val="hr-HR"/>
              </w:rPr>
              <w:t>допуњавати</w:t>
            </w:r>
            <w:proofErr w:type="spellEnd"/>
            <w:r w:rsidRPr="008C23F3">
              <w:rPr>
                <w:lang w:val="hr-HR"/>
              </w:rPr>
              <w:t>/</w:t>
            </w:r>
            <w:proofErr w:type="spellStart"/>
            <w:r w:rsidRPr="008C23F3">
              <w:rPr>
                <w:lang w:val="hr-HR"/>
              </w:rPr>
              <w:t>исправити</w:t>
            </w:r>
            <w:proofErr w:type="spellEnd"/>
            <w:r w:rsidRPr="008C23F3">
              <w:rPr>
                <w:lang w:val="hr-HR"/>
              </w:rPr>
              <w:t xml:space="preserve">, </w:t>
            </w:r>
            <w:proofErr w:type="spellStart"/>
            <w:r w:rsidRPr="008C23F3">
              <w:rPr>
                <w:lang w:val="hr-HR"/>
              </w:rPr>
              <w:t>Министарство</w:t>
            </w:r>
            <w:proofErr w:type="spellEnd"/>
            <w:r w:rsidRPr="008C23F3">
              <w:rPr>
                <w:lang w:val="hr-HR"/>
              </w:rPr>
              <w:t xml:space="preserve"> </w:t>
            </w:r>
            <w:proofErr w:type="spellStart"/>
            <w:r w:rsidRPr="008C23F3">
              <w:rPr>
                <w:lang w:val="hr-HR"/>
              </w:rPr>
              <w:t>ће</w:t>
            </w:r>
            <w:proofErr w:type="spellEnd"/>
            <w:r w:rsidRPr="008C23F3">
              <w:rPr>
                <w:lang w:val="hr-HR"/>
              </w:rPr>
              <w:t xml:space="preserve"> </w:t>
            </w:r>
            <w:proofErr w:type="spellStart"/>
            <w:r w:rsidRPr="008C23F3">
              <w:rPr>
                <w:lang w:val="hr-HR"/>
              </w:rPr>
              <w:t>позвати</w:t>
            </w:r>
            <w:proofErr w:type="spellEnd"/>
            <w:r w:rsidRPr="008C23F3">
              <w:rPr>
                <w:lang w:val="hr-HR"/>
              </w:rPr>
              <w:t xml:space="preserve"> </w:t>
            </w:r>
            <w:proofErr w:type="spellStart"/>
            <w:r w:rsidRPr="008C23F3">
              <w:rPr>
                <w:lang w:val="hr-HR"/>
              </w:rPr>
              <w:t>апликанта</w:t>
            </w:r>
            <w:proofErr w:type="spellEnd"/>
            <w:r w:rsidRPr="008C23F3">
              <w:rPr>
                <w:lang w:val="hr-HR"/>
              </w:rPr>
              <w:t xml:space="preserve"> </w:t>
            </w:r>
            <w:proofErr w:type="spellStart"/>
            <w:r w:rsidRPr="008C23F3">
              <w:rPr>
                <w:lang w:val="hr-HR"/>
              </w:rPr>
              <w:t>да</w:t>
            </w:r>
            <w:proofErr w:type="spellEnd"/>
            <w:r w:rsidRPr="008C23F3">
              <w:rPr>
                <w:lang w:val="hr-HR"/>
              </w:rPr>
              <w:t xml:space="preserve"> </w:t>
            </w:r>
            <w:proofErr w:type="spellStart"/>
            <w:r w:rsidRPr="008C23F3">
              <w:rPr>
                <w:lang w:val="hr-HR"/>
              </w:rPr>
              <w:t>утврђени</w:t>
            </w:r>
            <w:proofErr w:type="spellEnd"/>
            <w:r w:rsidRPr="008C23F3">
              <w:rPr>
                <w:lang w:val="hr-HR"/>
              </w:rPr>
              <w:t xml:space="preserve"> </w:t>
            </w:r>
            <w:proofErr w:type="spellStart"/>
            <w:r w:rsidRPr="008C23F3">
              <w:rPr>
                <w:lang w:val="hr-HR"/>
              </w:rPr>
              <w:t>недостатак</w:t>
            </w:r>
            <w:proofErr w:type="spellEnd"/>
            <w:r w:rsidRPr="008C23F3">
              <w:rPr>
                <w:lang w:val="hr-HR"/>
              </w:rPr>
              <w:t xml:space="preserve"> </w:t>
            </w:r>
            <w:proofErr w:type="spellStart"/>
            <w:r w:rsidRPr="008C23F3">
              <w:rPr>
                <w:lang w:val="hr-HR"/>
              </w:rPr>
              <w:t>отклони</w:t>
            </w:r>
            <w:proofErr w:type="spellEnd"/>
            <w:r w:rsidRPr="008C23F3">
              <w:rPr>
                <w:lang w:val="hr-HR"/>
              </w:rPr>
              <w:t xml:space="preserve"> у </w:t>
            </w:r>
            <w:proofErr w:type="spellStart"/>
            <w:r w:rsidRPr="008C23F3">
              <w:rPr>
                <w:lang w:val="hr-HR"/>
              </w:rPr>
              <w:t>року</w:t>
            </w:r>
            <w:proofErr w:type="spellEnd"/>
            <w:r w:rsidRPr="008C23F3">
              <w:rPr>
                <w:lang w:val="hr-HR"/>
              </w:rPr>
              <w:t xml:space="preserve"> </w:t>
            </w:r>
            <w:proofErr w:type="spellStart"/>
            <w:r w:rsidRPr="008C23F3">
              <w:rPr>
                <w:lang w:val="hr-HR"/>
              </w:rPr>
              <w:t>од</w:t>
            </w:r>
            <w:proofErr w:type="spellEnd"/>
            <w:r w:rsidRPr="008C23F3">
              <w:rPr>
                <w:lang w:val="hr-HR"/>
              </w:rPr>
              <w:t xml:space="preserve"> 5 </w:t>
            </w:r>
            <w:proofErr w:type="spellStart"/>
            <w:r w:rsidRPr="008C23F3">
              <w:rPr>
                <w:lang w:val="hr-HR"/>
              </w:rPr>
              <w:t>дана</w:t>
            </w:r>
            <w:proofErr w:type="spellEnd"/>
            <w:r w:rsidRPr="008C23F3">
              <w:rPr>
                <w:lang w:val="hr-HR"/>
              </w:rPr>
              <w:t xml:space="preserve"> </w:t>
            </w:r>
            <w:proofErr w:type="spellStart"/>
            <w:r w:rsidRPr="008C23F3">
              <w:rPr>
                <w:lang w:val="hr-HR"/>
              </w:rPr>
              <w:t>путем</w:t>
            </w:r>
            <w:proofErr w:type="spellEnd"/>
            <w:r w:rsidRPr="008C23F3"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објаве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 w:rsidRPr="0086785F">
              <w:rPr>
                <w:lang w:val="hr-HR"/>
              </w:rPr>
              <w:t>евиденције</w:t>
            </w:r>
            <w:proofErr w:type="spellEnd"/>
            <w:r w:rsidRPr="0086785F">
              <w:rPr>
                <w:lang w:val="hr-HR"/>
              </w:rPr>
              <w:t xml:space="preserve"> </w:t>
            </w:r>
            <w:proofErr w:type="spellStart"/>
            <w:r w:rsidRPr="0086785F">
              <w:rPr>
                <w:lang w:val="hr-HR"/>
              </w:rPr>
              <w:t>формално</w:t>
            </w:r>
            <w:proofErr w:type="spellEnd"/>
            <w:r w:rsidRPr="0086785F">
              <w:rPr>
                <w:lang w:val="hr-HR"/>
              </w:rPr>
              <w:t xml:space="preserve"> </w:t>
            </w:r>
            <w:proofErr w:type="spellStart"/>
            <w:r w:rsidRPr="0086785F">
              <w:rPr>
                <w:lang w:val="hr-HR"/>
              </w:rPr>
              <w:t>неисправних</w:t>
            </w:r>
            <w:proofErr w:type="spellEnd"/>
            <w:r w:rsidRPr="0086785F">
              <w:rPr>
                <w:lang w:val="hr-HR"/>
              </w:rPr>
              <w:t xml:space="preserve"> </w:t>
            </w:r>
            <w:proofErr w:type="spellStart"/>
            <w:r w:rsidRPr="0086785F">
              <w:rPr>
                <w:lang w:val="hr-HR"/>
              </w:rPr>
              <w:t>пријава</w:t>
            </w:r>
            <w:proofErr w:type="spellEnd"/>
            <w:r w:rsidRPr="0086785F">
              <w:rPr>
                <w:lang w:val="hr-HR"/>
              </w:rPr>
              <w:t xml:space="preserve"> </w:t>
            </w:r>
            <w:proofErr w:type="spellStart"/>
            <w:r w:rsidRPr="0086785F">
              <w:rPr>
                <w:lang w:val="hr-HR"/>
              </w:rPr>
              <w:t>на</w:t>
            </w:r>
            <w:proofErr w:type="spellEnd"/>
            <w:r w:rsidRPr="0086785F">
              <w:rPr>
                <w:lang w:val="hr-HR"/>
              </w:rPr>
              <w:t xml:space="preserve"> </w:t>
            </w:r>
            <w:proofErr w:type="spellStart"/>
            <w:r w:rsidRPr="0086785F">
              <w:rPr>
                <w:lang w:val="hr-HR"/>
              </w:rPr>
              <w:t>wеб</w:t>
            </w:r>
            <w:proofErr w:type="spellEnd"/>
            <w:r w:rsidRPr="0086785F">
              <w:rPr>
                <w:lang w:val="hr-HR"/>
              </w:rPr>
              <w:t xml:space="preserve"> </w:t>
            </w:r>
            <w:proofErr w:type="spellStart"/>
            <w:r w:rsidRPr="0086785F">
              <w:rPr>
                <w:lang w:val="hr-HR"/>
              </w:rPr>
              <w:t>страници</w:t>
            </w:r>
            <w:proofErr w:type="spellEnd"/>
            <w:r w:rsidRPr="0086785F">
              <w:rPr>
                <w:lang w:val="hr-HR"/>
              </w:rPr>
              <w:t xml:space="preserve"> </w:t>
            </w:r>
            <w:proofErr w:type="spellStart"/>
            <w:r w:rsidRPr="0086785F">
              <w:rPr>
                <w:lang w:val="hr-HR"/>
              </w:rPr>
              <w:t>Министарства</w:t>
            </w:r>
            <w:proofErr w:type="spellEnd"/>
            <w:r w:rsidRPr="00C5490C">
              <w:rPr>
                <w:lang w:val="hr-HR"/>
              </w:rPr>
              <w:t>.</w:t>
            </w:r>
            <w:r>
              <w:rPr>
                <w:lang w:val="hr-HR"/>
              </w:rPr>
              <w:t xml:space="preserve"> </w:t>
            </w:r>
          </w:p>
          <w:p w14:paraId="6089B4B6" w14:textId="137F7417" w:rsidR="007B3F39" w:rsidRDefault="007B3F39" w:rsidP="00567214">
            <w:proofErr w:type="spellStart"/>
            <w:r w:rsidRPr="006C7B63">
              <w:rPr>
                <w:lang w:val="hr-HR"/>
              </w:rPr>
              <w:t>Подноси</w:t>
            </w:r>
            <w:r>
              <w:rPr>
                <w:lang w:val="hr-HR"/>
              </w:rPr>
              <w:t>лац</w:t>
            </w:r>
            <w:proofErr w:type="spellEnd"/>
            <w:r w:rsidRPr="006C7B63">
              <w:rPr>
                <w:lang w:val="hr-HR"/>
              </w:rPr>
              <w:t xml:space="preserve"> </w:t>
            </w:r>
            <w:proofErr w:type="spellStart"/>
            <w:r w:rsidRPr="006C7B63">
              <w:rPr>
                <w:lang w:val="hr-HR"/>
              </w:rPr>
              <w:t>пријаве</w:t>
            </w:r>
            <w:proofErr w:type="spellEnd"/>
            <w:r w:rsidRPr="006C7B63">
              <w:rPr>
                <w:lang w:val="hr-HR"/>
              </w:rPr>
              <w:t xml:space="preserve">, </w:t>
            </w:r>
            <w:proofErr w:type="spellStart"/>
            <w:r w:rsidRPr="006C7B63">
              <w:rPr>
                <w:lang w:val="hr-HR"/>
              </w:rPr>
              <w:t>који</w:t>
            </w:r>
            <w:proofErr w:type="spellEnd"/>
            <w:r w:rsidRPr="006C7B63">
              <w:rPr>
                <w:lang w:val="hr-HR"/>
              </w:rPr>
              <w:t xml:space="preserve"> </w:t>
            </w:r>
            <w:proofErr w:type="spellStart"/>
            <w:r w:rsidRPr="006C7B63">
              <w:rPr>
                <w:lang w:val="hr-HR"/>
              </w:rPr>
              <w:t>је</w:t>
            </w:r>
            <w:proofErr w:type="spellEnd"/>
            <w:r w:rsidRPr="006C7B63">
              <w:rPr>
                <w:lang w:val="hr-HR"/>
              </w:rPr>
              <w:t xml:space="preserve"> </w:t>
            </w:r>
            <w:proofErr w:type="spellStart"/>
            <w:r w:rsidRPr="006C7B63">
              <w:rPr>
                <w:lang w:val="hr-HR"/>
              </w:rPr>
              <w:t>обавијештен</w:t>
            </w:r>
            <w:proofErr w:type="spellEnd"/>
            <w:r w:rsidRPr="006C7B63">
              <w:rPr>
                <w:lang w:val="hr-HR"/>
              </w:rPr>
              <w:t xml:space="preserve"> о </w:t>
            </w:r>
            <w:proofErr w:type="spellStart"/>
            <w:r w:rsidRPr="006C7B63">
              <w:rPr>
                <w:lang w:val="hr-HR"/>
              </w:rPr>
              <w:t>могућности</w:t>
            </w:r>
            <w:proofErr w:type="spellEnd"/>
            <w:r w:rsidRPr="006C7B63">
              <w:rPr>
                <w:lang w:val="hr-HR"/>
              </w:rPr>
              <w:t xml:space="preserve"> </w:t>
            </w:r>
            <w:proofErr w:type="spellStart"/>
            <w:r w:rsidRPr="006C7B63">
              <w:rPr>
                <w:lang w:val="hr-HR"/>
              </w:rPr>
              <w:t>допуне</w:t>
            </w:r>
            <w:proofErr w:type="spellEnd"/>
            <w:r w:rsidRPr="006C7B63">
              <w:rPr>
                <w:lang w:val="hr-HR"/>
              </w:rPr>
              <w:t xml:space="preserve"> </w:t>
            </w:r>
            <w:proofErr w:type="spellStart"/>
            <w:r w:rsidRPr="006C7B63">
              <w:rPr>
                <w:lang w:val="hr-HR"/>
              </w:rPr>
              <w:t>пријаве</w:t>
            </w:r>
            <w:proofErr w:type="spellEnd"/>
            <w:r w:rsidRPr="006C7B63">
              <w:rPr>
                <w:lang w:val="hr-HR"/>
              </w:rPr>
              <w:t xml:space="preserve"> (</w:t>
            </w:r>
            <w:proofErr w:type="spellStart"/>
            <w:r w:rsidRPr="006C7B63">
              <w:rPr>
                <w:lang w:val="hr-HR"/>
              </w:rPr>
              <w:t>путем</w:t>
            </w:r>
            <w:proofErr w:type="spellEnd"/>
            <w:r w:rsidRPr="006C7B63">
              <w:rPr>
                <w:lang w:val="hr-HR"/>
              </w:rPr>
              <w:t xml:space="preserve"> </w:t>
            </w:r>
            <w:proofErr w:type="spellStart"/>
            <w:r w:rsidRPr="006C7B63">
              <w:rPr>
                <w:lang w:val="hr-HR"/>
              </w:rPr>
              <w:t>обавјештења</w:t>
            </w:r>
            <w:proofErr w:type="spellEnd"/>
            <w:r w:rsidRPr="006C7B63">
              <w:rPr>
                <w:lang w:val="hr-HR"/>
              </w:rPr>
              <w:t xml:space="preserve"> </w:t>
            </w:r>
            <w:proofErr w:type="spellStart"/>
            <w:r w:rsidRPr="006C7B63">
              <w:rPr>
                <w:lang w:val="hr-HR"/>
              </w:rPr>
              <w:t>на</w:t>
            </w:r>
            <w:proofErr w:type="spellEnd"/>
            <w:r w:rsidRPr="006C7B63">
              <w:rPr>
                <w:lang w:val="hr-HR"/>
              </w:rPr>
              <w:t xml:space="preserve"> </w:t>
            </w:r>
            <w:proofErr w:type="spellStart"/>
            <w:r w:rsidRPr="006C7B63">
              <w:rPr>
                <w:lang w:val="hr-HR"/>
              </w:rPr>
              <w:t>wе</w:t>
            </w:r>
            <w:r>
              <w:rPr>
                <w:lang w:val="hr-HR"/>
              </w:rPr>
              <w:t>b</w:t>
            </w:r>
            <w:proofErr w:type="spellEnd"/>
            <w:r w:rsidRPr="006C7B63">
              <w:rPr>
                <w:lang w:val="hr-HR"/>
              </w:rPr>
              <w:t xml:space="preserve"> </w:t>
            </w:r>
            <w:proofErr w:type="spellStart"/>
            <w:r w:rsidRPr="006C7B63">
              <w:rPr>
                <w:lang w:val="hr-HR"/>
              </w:rPr>
              <w:t>страници</w:t>
            </w:r>
            <w:proofErr w:type="spellEnd"/>
            <w:r w:rsidRPr="006C7B63">
              <w:rPr>
                <w:lang w:val="hr-HR"/>
              </w:rPr>
              <w:t xml:space="preserve"> </w:t>
            </w:r>
            <w:proofErr w:type="spellStart"/>
            <w:r w:rsidRPr="006C7B63">
              <w:rPr>
                <w:lang w:val="hr-HR"/>
              </w:rPr>
              <w:t>Министарства</w:t>
            </w:r>
            <w:proofErr w:type="spellEnd"/>
            <w:r w:rsidRPr="006C7B63">
              <w:rPr>
                <w:lang w:val="hr-HR"/>
              </w:rPr>
              <w:t xml:space="preserve">), а </w:t>
            </w:r>
            <w:proofErr w:type="spellStart"/>
            <w:r w:rsidRPr="006C7B63">
              <w:rPr>
                <w:lang w:val="hr-HR"/>
              </w:rPr>
              <w:t>не</w:t>
            </w:r>
            <w:proofErr w:type="spellEnd"/>
            <w:r w:rsidRPr="006C7B63">
              <w:rPr>
                <w:lang w:val="hr-HR"/>
              </w:rPr>
              <w:t xml:space="preserve"> </w:t>
            </w:r>
            <w:proofErr w:type="spellStart"/>
            <w:r w:rsidRPr="006C7B63">
              <w:rPr>
                <w:lang w:val="hr-HR"/>
              </w:rPr>
              <w:t>изврши</w:t>
            </w:r>
            <w:proofErr w:type="spellEnd"/>
            <w:r w:rsidRPr="006C7B63">
              <w:rPr>
                <w:lang w:val="hr-HR"/>
              </w:rPr>
              <w:t xml:space="preserve"> </w:t>
            </w:r>
            <w:proofErr w:type="spellStart"/>
            <w:r w:rsidRPr="006C7B63">
              <w:rPr>
                <w:lang w:val="hr-HR"/>
              </w:rPr>
              <w:t>допуну</w:t>
            </w:r>
            <w:proofErr w:type="spellEnd"/>
            <w:r w:rsidRPr="006C7B63">
              <w:rPr>
                <w:lang w:val="hr-HR"/>
              </w:rPr>
              <w:t xml:space="preserve"> у </w:t>
            </w:r>
            <w:proofErr w:type="spellStart"/>
            <w:r w:rsidRPr="006C7B63">
              <w:rPr>
                <w:lang w:val="hr-HR"/>
              </w:rPr>
              <w:t>остављеном</w:t>
            </w:r>
            <w:proofErr w:type="spellEnd"/>
            <w:r w:rsidRPr="006C7B63">
              <w:rPr>
                <w:lang w:val="hr-HR"/>
              </w:rPr>
              <w:t xml:space="preserve"> </w:t>
            </w:r>
            <w:proofErr w:type="spellStart"/>
            <w:r w:rsidRPr="006C7B63">
              <w:rPr>
                <w:lang w:val="hr-HR"/>
              </w:rPr>
              <w:t>року</w:t>
            </w:r>
            <w:proofErr w:type="spellEnd"/>
            <w:r w:rsidRPr="006C7B63">
              <w:rPr>
                <w:lang w:val="hr-HR"/>
              </w:rPr>
              <w:t xml:space="preserve"> </w:t>
            </w:r>
            <w:proofErr w:type="spellStart"/>
            <w:r w:rsidRPr="006C7B63">
              <w:rPr>
                <w:lang w:val="hr-HR"/>
              </w:rPr>
              <w:t>или</w:t>
            </w:r>
            <w:proofErr w:type="spellEnd"/>
            <w:r w:rsidRPr="006C7B63">
              <w:rPr>
                <w:lang w:val="hr-HR"/>
              </w:rPr>
              <w:t xml:space="preserve"> </w:t>
            </w:r>
            <w:proofErr w:type="spellStart"/>
            <w:r w:rsidRPr="006C7B63">
              <w:rPr>
                <w:lang w:val="hr-HR"/>
              </w:rPr>
              <w:t>изврши</w:t>
            </w:r>
            <w:proofErr w:type="spellEnd"/>
            <w:r w:rsidRPr="006C7B63">
              <w:rPr>
                <w:lang w:val="hr-HR"/>
              </w:rPr>
              <w:t xml:space="preserve"> </w:t>
            </w:r>
            <w:proofErr w:type="spellStart"/>
            <w:r w:rsidRPr="006C7B63">
              <w:rPr>
                <w:lang w:val="hr-HR"/>
              </w:rPr>
              <w:t>неодговарајућу</w:t>
            </w:r>
            <w:proofErr w:type="spellEnd"/>
            <w:r w:rsidRPr="006C7B63">
              <w:rPr>
                <w:lang w:val="hr-HR"/>
              </w:rPr>
              <w:t xml:space="preserve"> </w:t>
            </w:r>
            <w:proofErr w:type="spellStart"/>
            <w:r w:rsidRPr="006C7B63">
              <w:rPr>
                <w:lang w:val="hr-HR"/>
              </w:rPr>
              <w:t>допуну</w:t>
            </w:r>
            <w:proofErr w:type="spellEnd"/>
            <w:r w:rsidRPr="006C7B63">
              <w:rPr>
                <w:lang w:val="hr-HR"/>
              </w:rPr>
              <w:t xml:space="preserve"> </w:t>
            </w:r>
            <w:proofErr w:type="spellStart"/>
            <w:r w:rsidRPr="006C7B63">
              <w:rPr>
                <w:lang w:val="hr-HR"/>
              </w:rPr>
              <w:t>према</w:t>
            </w:r>
            <w:proofErr w:type="spellEnd"/>
            <w:r w:rsidRPr="006C7B63">
              <w:rPr>
                <w:lang w:val="hr-HR"/>
              </w:rPr>
              <w:t xml:space="preserve"> </w:t>
            </w:r>
            <w:proofErr w:type="spellStart"/>
            <w:r w:rsidRPr="006C7B63">
              <w:rPr>
                <w:lang w:val="hr-HR"/>
              </w:rPr>
              <w:t>оцјени</w:t>
            </w:r>
            <w:proofErr w:type="spellEnd"/>
            <w:r w:rsidRPr="006C7B63">
              <w:rPr>
                <w:lang w:val="hr-HR"/>
              </w:rPr>
              <w:t xml:space="preserve"> </w:t>
            </w:r>
            <w:proofErr w:type="spellStart"/>
            <w:r w:rsidRPr="006C7B63">
              <w:rPr>
                <w:lang w:val="hr-HR"/>
              </w:rPr>
              <w:t>Комисије</w:t>
            </w:r>
            <w:proofErr w:type="spellEnd"/>
            <w:r w:rsidRPr="006C7B63">
              <w:rPr>
                <w:lang w:val="hr-HR"/>
              </w:rPr>
              <w:t xml:space="preserve"> </w:t>
            </w:r>
            <w:proofErr w:type="spellStart"/>
            <w:r w:rsidRPr="006C7B63">
              <w:rPr>
                <w:lang w:val="hr-HR"/>
              </w:rPr>
              <w:t>за</w:t>
            </w:r>
            <w:proofErr w:type="spellEnd"/>
            <w:r w:rsidRPr="006C7B63">
              <w:rPr>
                <w:lang w:val="hr-HR"/>
              </w:rPr>
              <w:t xml:space="preserve"> </w:t>
            </w:r>
            <w:proofErr w:type="spellStart"/>
            <w:r w:rsidRPr="006C7B63">
              <w:rPr>
                <w:lang w:val="hr-HR"/>
              </w:rPr>
              <w:t>селекцију</w:t>
            </w:r>
            <w:proofErr w:type="spellEnd"/>
            <w:r w:rsidRPr="006C7B63">
              <w:rPr>
                <w:lang w:val="hr-HR"/>
              </w:rPr>
              <w:t xml:space="preserve"> </w:t>
            </w:r>
            <w:proofErr w:type="spellStart"/>
            <w:r w:rsidRPr="006C7B63">
              <w:rPr>
                <w:lang w:val="hr-HR"/>
              </w:rPr>
              <w:t>пријава</w:t>
            </w:r>
            <w:proofErr w:type="spellEnd"/>
            <w:r w:rsidRPr="006C7B63">
              <w:rPr>
                <w:lang w:val="hr-HR"/>
              </w:rPr>
              <w:t xml:space="preserve">, </w:t>
            </w:r>
            <w:proofErr w:type="spellStart"/>
            <w:r w:rsidRPr="006C7B63">
              <w:rPr>
                <w:lang w:val="hr-HR"/>
              </w:rPr>
              <w:t>неће</w:t>
            </w:r>
            <w:proofErr w:type="spellEnd"/>
            <w:r w:rsidRPr="006C7B63">
              <w:rPr>
                <w:lang w:val="hr-HR"/>
              </w:rPr>
              <w:t xml:space="preserve"> </w:t>
            </w:r>
            <w:proofErr w:type="spellStart"/>
            <w:r w:rsidRPr="006C7B63">
              <w:rPr>
                <w:lang w:val="hr-HR"/>
              </w:rPr>
              <w:t>имати</w:t>
            </w:r>
            <w:proofErr w:type="spellEnd"/>
            <w:r w:rsidRPr="006C7B63">
              <w:rPr>
                <w:lang w:val="hr-HR"/>
              </w:rPr>
              <w:t xml:space="preserve"> </w:t>
            </w:r>
            <w:proofErr w:type="spellStart"/>
            <w:r w:rsidRPr="006C7B63">
              <w:rPr>
                <w:lang w:val="hr-HR"/>
              </w:rPr>
              <w:t>могућност</w:t>
            </w:r>
            <w:proofErr w:type="spellEnd"/>
            <w:r w:rsidRPr="006C7B63">
              <w:rPr>
                <w:lang w:val="hr-HR"/>
              </w:rPr>
              <w:t xml:space="preserve"> </w:t>
            </w:r>
            <w:proofErr w:type="spellStart"/>
            <w:r w:rsidRPr="006C7B63">
              <w:rPr>
                <w:lang w:val="hr-HR"/>
              </w:rPr>
              <w:t>накнадне</w:t>
            </w:r>
            <w:proofErr w:type="spellEnd"/>
            <w:r w:rsidRPr="006C7B63">
              <w:rPr>
                <w:lang w:val="hr-HR"/>
              </w:rPr>
              <w:t xml:space="preserve"> </w:t>
            </w:r>
            <w:proofErr w:type="spellStart"/>
            <w:r w:rsidRPr="006C7B63">
              <w:rPr>
                <w:lang w:val="hr-HR"/>
              </w:rPr>
              <w:t>допуне</w:t>
            </w:r>
            <w:proofErr w:type="spellEnd"/>
            <w:r w:rsidRPr="006C7B63">
              <w:rPr>
                <w:lang w:val="hr-HR"/>
              </w:rPr>
              <w:t xml:space="preserve"> </w:t>
            </w:r>
            <w:proofErr w:type="spellStart"/>
            <w:r w:rsidRPr="006C7B63">
              <w:rPr>
                <w:lang w:val="hr-HR"/>
              </w:rPr>
              <w:t>нити</w:t>
            </w:r>
            <w:proofErr w:type="spellEnd"/>
            <w:r w:rsidRPr="006C7B63">
              <w:rPr>
                <w:lang w:val="hr-HR"/>
              </w:rPr>
              <w:t xml:space="preserve"> </w:t>
            </w:r>
            <w:proofErr w:type="spellStart"/>
            <w:r w:rsidRPr="006C7B63">
              <w:rPr>
                <w:lang w:val="hr-HR"/>
              </w:rPr>
              <w:t>приговора</w:t>
            </w:r>
            <w:proofErr w:type="spellEnd"/>
            <w:r w:rsidRPr="006C7B63">
              <w:rPr>
                <w:lang w:val="hr-HR"/>
              </w:rPr>
              <w:t xml:space="preserve">, </w:t>
            </w:r>
            <w:proofErr w:type="spellStart"/>
            <w:r w:rsidRPr="006C7B63">
              <w:rPr>
                <w:lang w:val="hr-HR"/>
              </w:rPr>
              <w:t>односно</w:t>
            </w:r>
            <w:proofErr w:type="spellEnd"/>
            <w:r w:rsidRPr="006C7B63">
              <w:rPr>
                <w:lang w:val="hr-HR"/>
              </w:rPr>
              <w:t xml:space="preserve"> </w:t>
            </w:r>
            <w:proofErr w:type="spellStart"/>
            <w:r w:rsidRPr="006C7B63">
              <w:rPr>
                <w:lang w:val="hr-HR"/>
              </w:rPr>
              <w:t>неће</w:t>
            </w:r>
            <w:proofErr w:type="spellEnd"/>
            <w:r w:rsidRPr="006C7B63">
              <w:rPr>
                <w:lang w:val="hr-HR"/>
              </w:rPr>
              <w:t xml:space="preserve"> </w:t>
            </w:r>
            <w:proofErr w:type="spellStart"/>
            <w:r w:rsidRPr="006C7B63">
              <w:rPr>
                <w:lang w:val="hr-HR"/>
              </w:rPr>
              <w:t>моћи</w:t>
            </w:r>
            <w:proofErr w:type="spellEnd"/>
            <w:r w:rsidRPr="006C7B63">
              <w:rPr>
                <w:lang w:val="hr-HR"/>
              </w:rPr>
              <w:t xml:space="preserve"> </w:t>
            </w:r>
            <w:proofErr w:type="spellStart"/>
            <w:r w:rsidRPr="006C7B63">
              <w:rPr>
                <w:lang w:val="hr-HR"/>
              </w:rPr>
              <w:t>даље</w:t>
            </w:r>
            <w:proofErr w:type="spellEnd"/>
            <w:r w:rsidRPr="006C7B63"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учествовати</w:t>
            </w:r>
            <w:proofErr w:type="spellEnd"/>
            <w:r w:rsidRPr="006C7B63">
              <w:rPr>
                <w:lang w:val="hr-HR"/>
              </w:rPr>
              <w:t xml:space="preserve"> у </w:t>
            </w:r>
            <w:proofErr w:type="spellStart"/>
            <w:r w:rsidRPr="006C7B63">
              <w:rPr>
                <w:lang w:val="hr-HR"/>
              </w:rPr>
              <w:t>процедури</w:t>
            </w:r>
            <w:proofErr w:type="spellEnd"/>
            <w:r w:rsidRPr="006C7B63">
              <w:rPr>
                <w:lang w:val="hr-HR"/>
              </w:rPr>
              <w:t xml:space="preserve"> </w:t>
            </w:r>
            <w:proofErr w:type="spellStart"/>
            <w:r w:rsidRPr="006C7B63">
              <w:rPr>
                <w:lang w:val="hr-HR"/>
              </w:rPr>
              <w:t>додјеле</w:t>
            </w:r>
            <w:proofErr w:type="spellEnd"/>
            <w:r w:rsidRPr="006C7B63">
              <w:rPr>
                <w:lang w:val="hr-HR"/>
              </w:rPr>
              <w:t xml:space="preserve"> </w:t>
            </w:r>
            <w:proofErr w:type="spellStart"/>
            <w:r w:rsidRPr="006C7B63">
              <w:rPr>
                <w:lang w:val="hr-HR"/>
              </w:rPr>
              <w:t>средстава</w:t>
            </w:r>
            <w:proofErr w:type="spellEnd"/>
            <w:r w:rsidRPr="006C7B63">
              <w:rPr>
                <w:lang w:val="hr-HR"/>
              </w:rPr>
              <w:t xml:space="preserve"> </w:t>
            </w:r>
            <w:proofErr w:type="spellStart"/>
            <w:r w:rsidRPr="006C7B63">
              <w:rPr>
                <w:lang w:val="hr-HR"/>
              </w:rPr>
              <w:t>по</w:t>
            </w:r>
            <w:proofErr w:type="spellEnd"/>
            <w:r w:rsidRPr="006C7B63">
              <w:rPr>
                <w:lang w:val="hr-HR"/>
              </w:rPr>
              <w:t xml:space="preserve"> </w:t>
            </w:r>
            <w:proofErr w:type="spellStart"/>
            <w:r w:rsidRPr="006C7B63">
              <w:rPr>
                <w:lang w:val="hr-HR"/>
              </w:rPr>
              <w:t>Сталном</w:t>
            </w:r>
            <w:proofErr w:type="spellEnd"/>
            <w:r w:rsidRPr="006C7B63">
              <w:rPr>
                <w:lang w:val="hr-HR"/>
              </w:rPr>
              <w:t xml:space="preserve"> </w:t>
            </w:r>
            <w:proofErr w:type="spellStart"/>
            <w:r w:rsidRPr="006C7B63">
              <w:rPr>
                <w:lang w:val="hr-HR"/>
              </w:rPr>
              <w:t>јавном</w:t>
            </w:r>
            <w:proofErr w:type="spellEnd"/>
            <w:r w:rsidRPr="006C7B63">
              <w:rPr>
                <w:lang w:val="hr-HR"/>
              </w:rPr>
              <w:t xml:space="preserve"> </w:t>
            </w:r>
            <w:proofErr w:type="spellStart"/>
            <w:r w:rsidRPr="006C7B63">
              <w:rPr>
                <w:lang w:val="hr-HR"/>
              </w:rPr>
              <w:t>позиву</w:t>
            </w:r>
            <w:proofErr w:type="spellEnd"/>
            <w:r w:rsidRPr="006C7B63">
              <w:rPr>
                <w:lang w:val="hr-HR"/>
              </w:rPr>
              <w:t>.</w:t>
            </w:r>
          </w:p>
          <w:p w14:paraId="1FAC9739" w14:textId="77777777" w:rsidR="0086785F" w:rsidRDefault="0086785F" w:rsidP="00D07C20">
            <w:pPr>
              <w:ind w:left="-18"/>
              <w:rPr>
                <w:color w:val="FF0000"/>
                <w:lang w:val="hr-HR"/>
              </w:rPr>
            </w:pPr>
          </w:p>
          <w:p w14:paraId="571DDADA" w14:textId="77777777" w:rsidR="007B3F39" w:rsidRPr="008F6BF9" w:rsidRDefault="007B3F39" w:rsidP="00D97CE7">
            <w:pPr>
              <w:ind w:left="-18"/>
              <w:rPr>
                <w:b/>
                <w:bCs/>
              </w:rPr>
            </w:pPr>
            <w:proofErr w:type="spellStart"/>
            <w:r w:rsidRPr="008F6BF9">
              <w:rPr>
                <w:b/>
                <w:bCs/>
                <w:lang w:val="hr-HR"/>
              </w:rPr>
              <w:t>Напомена</w:t>
            </w:r>
            <w:proofErr w:type="spellEnd"/>
            <w:r w:rsidRPr="008F6BF9">
              <w:rPr>
                <w:b/>
                <w:bCs/>
                <w:lang w:val="hr-HR"/>
              </w:rPr>
              <w:t xml:space="preserve">: </w:t>
            </w:r>
          </w:p>
          <w:p w14:paraId="2F61C51F" w14:textId="77777777" w:rsidR="007B3F39" w:rsidRPr="006C7B63" w:rsidRDefault="007B3F39" w:rsidP="00D97CE7">
            <w:proofErr w:type="spellStart"/>
            <w:r w:rsidRPr="006C7B63">
              <w:rPr>
                <w:b/>
                <w:bCs/>
              </w:rPr>
              <w:t>Допуна</w:t>
            </w:r>
            <w:proofErr w:type="spellEnd"/>
            <w:r w:rsidRPr="006C7B63">
              <w:rPr>
                <w:b/>
                <w:bCs/>
              </w:rPr>
              <w:t xml:space="preserve"> </w:t>
            </w:r>
            <w:proofErr w:type="spellStart"/>
            <w:r w:rsidRPr="006C7B63">
              <w:rPr>
                <w:b/>
                <w:bCs/>
              </w:rPr>
              <w:t>документације</w:t>
            </w:r>
            <w:proofErr w:type="spellEnd"/>
            <w:r w:rsidRPr="006C7B63">
              <w:rPr>
                <w:b/>
                <w:bCs/>
              </w:rPr>
              <w:t xml:space="preserve"> </w:t>
            </w:r>
            <w:proofErr w:type="spellStart"/>
            <w:r w:rsidRPr="00BF54DB">
              <w:t>може</w:t>
            </w:r>
            <w:proofErr w:type="spellEnd"/>
            <w:r w:rsidRPr="00BF54DB">
              <w:t xml:space="preserve"> </w:t>
            </w:r>
            <w:proofErr w:type="spellStart"/>
            <w:r w:rsidRPr="00BF54DB">
              <w:t>се</w:t>
            </w:r>
            <w:proofErr w:type="spellEnd"/>
            <w:r w:rsidRPr="00BF54DB">
              <w:t xml:space="preserve"> </w:t>
            </w:r>
            <w:proofErr w:type="spellStart"/>
            <w:r w:rsidRPr="00BF54DB">
              <w:t>омогућити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само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оном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апликанту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чија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пријава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је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непотпуна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због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недостављања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документа</w:t>
            </w:r>
            <w:proofErr w:type="spellEnd"/>
            <w:r w:rsidRPr="006C7B63">
              <w:t xml:space="preserve"> – </w:t>
            </w:r>
            <w:proofErr w:type="spellStart"/>
            <w:r w:rsidRPr="006C7B63">
              <w:t>доказа</w:t>
            </w:r>
            <w:proofErr w:type="spellEnd"/>
            <w:r w:rsidRPr="006C7B63">
              <w:t xml:space="preserve"> о </w:t>
            </w:r>
            <w:proofErr w:type="spellStart"/>
            <w:r w:rsidRPr="006C7B63">
              <w:t>чињеницама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које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се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воде</w:t>
            </w:r>
            <w:proofErr w:type="spellEnd"/>
            <w:r w:rsidRPr="006C7B63">
              <w:t xml:space="preserve"> у </w:t>
            </w:r>
            <w:proofErr w:type="spellStart"/>
            <w:r w:rsidRPr="006C7B63">
              <w:t>евиденцијама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или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регистрима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код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других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органа</w:t>
            </w:r>
            <w:proofErr w:type="spellEnd"/>
            <w:r w:rsidRPr="006C7B63">
              <w:t xml:space="preserve">, а </w:t>
            </w:r>
            <w:proofErr w:type="spellStart"/>
            <w:r w:rsidRPr="006C7B63">
              <w:t>које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су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видљиве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из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попуњеног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апликацијског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обрасца</w:t>
            </w:r>
            <w:proofErr w:type="spellEnd"/>
            <w:r w:rsidRPr="006C7B63">
              <w:t>:</w:t>
            </w:r>
          </w:p>
          <w:p w14:paraId="54D40DA1" w14:textId="77777777" w:rsidR="007B3F39" w:rsidRPr="006C7B63" w:rsidRDefault="007B3F39" w:rsidP="00D97CE7">
            <w:r w:rsidRPr="006C7B63">
              <w:t xml:space="preserve">- </w:t>
            </w:r>
            <w:proofErr w:type="spellStart"/>
            <w:r w:rsidRPr="006C7B63">
              <w:t>доказ</w:t>
            </w:r>
            <w:proofErr w:type="spellEnd"/>
            <w:r w:rsidRPr="006C7B63">
              <w:t xml:space="preserve"> о </w:t>
            </w:r>
            <w:proofErr w:type="spellStart"/>
            <w:r w:rsidRPr="006C7B63">
              <w:t>отвореном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рачуну</w:t>
            </w:r>
            <w:proofErr w:type="spellEnd"/>
            <w:r w:rsidRPr="006C7B63">
              <w:t xml:space="preserve"> у </w:t>
            </w:r>
            <w:proofErr w:type="spellStart"/>
            <w:r w:rsidRPr="006C7B63">
              <w:t>пословној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банци</w:t>
            </w:r>
            <w:proofErr w:type="spellEnd"/>
            <w:r w:rsidRPr="006C7B63">
              <w:t>;</w:t>
            </w:r>
          </w:p>
          <w:p w14:paraId="661BAB62" w14:textId="77777777" w:rsidR="007B3F39" w:rsidRDefault="007B3F39" w:rsidP="00D97CE7">
            <w:r w:rsidRPr="006C7B63">
              <w:t xml:space="preserve">- </w:t>
            </w:r>
            <w:proofErr w:type="spellStart"/>
            <w:r w:rsidRPr="006C7B63">
              <w:t>увјерење</w:t>
            </w:r>
            <w:proofErr w:type="spellEnd"/>
            <w:r w:rsidRPr="006C7B63">
              <w:t xml:space="preserve"> о </w:t>
            </w:r>
            <w:proofErr w:type="spellStart"/>
            <w:r w:rsidRPr="006C7B63">
              <w:t>порезној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регистрацији</w:t>
            </w:r>
            <w:proofErr w:type="spellEnd"/>
            <w:r w:rsidRPr="006C7B63">
              <w:t xml:space="preserve"> (ИД </w:t>
            </w:r>
            <w:proofErr w:type="spellStart"/>
            <w:r w:rsidRPr="006C7B63">
              <w:t>број</w:t>
            </w:r>
            <w:proofErr w:type="spellEnd"/>
            <w:r w:rsidRPr="006C7B63">
              <w:t>);</w:t>
            </w:r>
          </w:p>
          <w:p w14:paraId="4E8ABCE5" w14:textId="77777777" w:rsidR="007B3F39" w:rsidRPr="006C7B63" w:rsidRDefault="007B3F39" w:rsidP="00D97CE7">
            <w:r w:rsidRPr="00802E2E">
              <w:t xml:space="preserve">- </w:t>
            </w:r>
            <w:proofErr w:type="spellStart"/>
            <w:r w:rsidRPr="00802E2E">
              <w:t>Рјешење</w:t>
            </w:r>
            <w:proofErr w:type="spellEnd"/>
            <w:r w:rsidRPr="00802E2E">
              <w:t xml:space="preserve"> о </w:t>
            </w:r>
            <w:proofErr w:type="spellStart"/>
            <w:r w:rsidRPr="00802E2E">
              <w:t>регистрацији</w:t>
            </w:r>
            <w:proofErr w:type="spellEnd"/>
            <w:r w:rsidRPr="00802E2E">
              <w:t xml:space="preserve"> </w:t>
            </w:r>
            <w:proofErr w:type="spellStart"/>
            <w:r w:rsidRPr="00802E2E">
              <w:t>или</w:t>
            </w:r>
            <w:proofErr w:type="spellEnd"/>
            <w:r w:rsidRPr="00802E2E">
              <w:t xml:space="preserve"> </w:t>
            </w:r>
            <w:proofErr w:type="spellStart"/>
            <w:r w:rsidRPr="00802E2E">
              <w:t>извод</w:t>
            </w:r>
            <w:proofErr w:type="spellEnd"/>
            <w:r w:rsidRPr="00802E2E">
              <w:t xml:space="preserve"> </w:t>
            </w:r>
            <w:proofErr w:type="spellStart"/>
            <w:r w:rsidRPr="00802E2E">
              <w:t>из</w:t>
            </w:r>
            <w:proofErr w:type="spellEnd"/>
            <w:r w:rsidRPr="00802E2E">
              <w:t xml:space="preserve"> </w:t>
            </w:r>
            <w:proofErr w:type="spellStart"/>
            <w:r w:rsidRPr="00802E2E">
              <w:t>регистра</w:t>
            </w:r>
            <w:proofErr w:type="spellEnd"/>
            <w:r w:rsidRPr="00802E2E">
              <w:t xml:space="preserve"> </w:t>
            </w:r>
            <w:proofErr w:type="spellStart"/>
            <w:r w:rsidRPr="00802E2E">
              <w:t>из</w:t>
            </w:r>
            <w:proofErr w:type="spellEnd"/>
            <w:r w:rsidRPr="00802E2E">
              <w:t xml:space="preserve"> </w:t>
            </w:r>
            <w:proofErr w:type="spellStart"/>
            <w:r w:rsidRPr="00802E2E">
              <w:t>којег</w:t>
            </w:r>
            <w:proofErr w:type="spellEnd"/>
            <w:r w:rsidRPr="00802E2E">
              <w:t xml:space="preserve"> </w:t>
            </w:r>
            <w:proofErr w:type="spellStart"/>
            <w:r w:rsidRPr="00802E2E">
              <w:t>је</w:t>
            </w:r>
            <w:proofErr w:type="spellEnd"/>
            <w:r w:rsidRPr="00802E2E">
              <w:t xml:space="preserve"> </w:t>
            </w:r>
            <w:proofErr w:type="spellStart"/>
            <w:r w:rsidRPr="00802E2E">
              <w:t>видљива</w:t>
            </w:r>
            <w:proofErr w:type="spellEnd"/>
            <w:r w:rsidRPr="00802E2E">
              <w:t xml:space="preserve"> </w:t>
            </w:r>
            <w:proofErr w:type="spellStart"/>
            <w:r w:rsidRPr="00802E2E">
              <w:t>дјелатност</w:t>
            </w:r>
            <w:proofErr w:type="spellEnd"/>
            <w:r w:rsidRPr="00802E2E">
              <w:t xml:space="preserve"> </w:t>
            </w:r>
            <w:proofErr w:type="spellStart"/>
            <w:r w:rsidRPr="00802E2E">
              <w:t>за</w:t>
            </w:r>
            <w:proofErr w:type="spellEnd"/>
            <w:r w:rsidRPr="00802E2E">
              <w:t xml:space="preserve"> </w:t>
            </w:r>
            <w:proofErr w:type="spellStart"/>
            <w:r w:rsidRPr="00802E2E">
              <w:t>коју</w:t>
            </w:r>
            <w:proofErr w:type="spellEnd"/>
            <w:r w:rsidRPr="00802E2E">
              <w:t xml:space="preserve"> </w:t>
            </w:r>
            <w:proofErr w:type="spellStart"/>
            <w:r w:rsidRPr="00802E2E">
              <w:t>је</w:t>
            </w:r>
            <w:proofErr w:type="spellEnd"/>
            <w:r w:rsidRPr="00802E2E">
              <w:t xml:space="preserve"> </w:t>
            </w:r>
            <w:proofErr w:type="spellStart"/>
            <w:r w:rsidRPr="00802E2E">
              <w:t>подносилац</w:t>
            </w:r>
            <w:proofErr w:type="spellEnd"/>
            <w:r w:rsidRPr="00802E2E">
              <w:t xml:space="preserve"> </w:t>
            </w:r>
            <w:proofErr w:type="spellStart"/>
            <w:r w:rsidRPr="00802E2E">
              <w:t>захтјева</w:t>
            </w:r>
            <w:proofErr w:type="spellEnd"/>
            <w:r w:rsidRPr="00802E2E">
              <w:t xml:space="preserve"> </w:t>
            </w:r>
            <w:proofErr w:type="spellStart"/>
            <w:r w:rsidRPr="00802E2E">
              <w:t>регистр</w:t>
            </w:r>
            <w:r>
              <w:t>ован</w:t>
            </w:r>
            <w:proofErr w:type="spellEnd"/>
            <w:r w:rsidRPr="00802E2E">
              <w:t>.</w:t>
            </w:r>
          </w:p>
          <w:p w14:paraId="3B7D856B" w14:textId="77777777" w:rsidR="007B3F39" w:rsidRPr="00D07C20" w:rsidRDefault="007B3F39" w:rsidP="00D97CE7">
            <w:pPr>
              <w:rPr>
                <w:color w:val="FF0000"/>
              </w:rPr>
            </w:pPr>
          </w:p>
          <w:p w14:paraId="597426BF" w14:textId="77777777" w:rsidR="007B3F39" w:rsidRPr="006C7B63" w:rsidRDefault="007B3F39" w:rsidP="00D97CE7">
            <w:proofErr w:type="spellStart"/>
            <w:r w:rsidRPr="006C7B63">
              <w:t>Остала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документација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тражена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Сталним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јавним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позивом</w:t>
            </w:r>
            <w:proofErr w:type="spellEnd"/>
            <w:r w:rsidRPr="006C7B63">
              <w:t xml:space="preserve"> (у </w:t>
            </w:r>
            <w:proofErr w:type="spellStart"/>
            <w:r w:rsidRPr="006C7B63">
              <w:t>потпуности</w:t>
            </w:r>
            <w:proofErr w:type="spellEnd"/>
            <w:r w:rsidRPr="006C7B63">
              <w:t xml:space="preserve"> и </w:t>
            </w:r>
            <w:proofErr w:type="spellStart"/>
            <w:r w:rsidRPr="006C7B63">
              <w:t>исправно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попуњен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образац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Захтјева</w:t>
            </w:r>
            <w:proofErr w:type="spellEnd"/>
            <w:r w:rsidRPr="006C7B63">
              <w:t xml:space="preserve">, </w:t>
            </w:r>
            <w:proofErr w:type="spellStart"/>
            <w:r w:rsidRPr="006C7B63">
              <w:t>детаљан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опис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пројекта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за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који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се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тражи</w:t>
            </w:r>
            <w:proofErr w:type="spellEnd"/>
            <w:r w:rsidRPr="006C7B63">
              <w:t xml:space="preserve"> (</w:t>
            </w:r>
            <w:proofErr w:type="spellStart"/>
            <w:r w:rsidRPr="006C7B63">
              <w:t>су</w:t>
            </w:r>
            <w:proofErr w:type="spellEnd"/>
            <w:r w:rsidRPr="006C7B63">
              <w:t>)</w:t>
            </w:r>
            <w:proofErr w:type="spellStart"/>
            <w:r w:rsidRPr="006C7B63">
              <w:t>финансирање</w:t>
            </w:r>
            <w:proofErr w:type="spellEnd"/>
            <w:r w:rsidRPr="006C7B63">
              <w:t xml:space="preserve">, </w:t>
            </w:r>
            <w:proofErr w:type="spellStart"/>
            <w:r w:rsidRPr="006C7B63">
              <w:t>разрађен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финансијски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план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пројекта</w:t>
            </w:r>
            <w:proofErr w:type="spellEnd"/>
            <w:r w:rsidRPr="006C7B63">
              <w:t xml:space="preserve"> (</w:t>
            </w:r>
            <w:proofErr w:type="spellStart"/>
            <w:r w:rsidRPr="006C7B63">
              <w:t>буџет</w:t>
            </w:r>
            <w:proofErr w:type="spellEnd"/>
            <w:r w:rsidRPr="006C7B63">
              <w:t xml:space="preserve">) и </w:t>
            </w:r>
            <w:proofErr w:type="spellStart"/>
            <w:r w:rsidRPr="006C7B63">
              <w:t>др</w:t>
            </w:r>
            <w:proofErr w:type="spellEnd"/>
            <w:r w:rsidRPr="006C7B63">
              <w:t xml:space="preserve">.) </w:t>
            </w:r>
            <w:proofErr w:type="spellStart"/>
            <w:r w:rsidRPr="006C7B63">
              <w:t>не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може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се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допуњавати</w:t>
            </w:r>
            <w:proofErr w:type="spellEnd"/>
            <w:r w:rsidRPr="006C7B63">
              <w:t>.</w:t>
            </w:r>
          </w:p>
          <w:p w14:paraId="57FF5529" w14:textId="77777777" w:rsidR="007B3F39" w:rsidRPr="006C7B63" w:rsidRDefault="007B3F39" w:rsidP="00D97CE7"/>
          <w:p w14:paraId="7972F5AF" w14:textId="77777777" w:rsidR="007B3F39" w:rsidRDefault="007B3F39" w:rsidP="00D97CE7">
            <w:proofErr w:type="spellStart"/>
            <w:r w:rsidRPr="006C7B63">
              <w:t>Апликанти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чије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су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пријаве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формално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неисправне</w:t>
            </w:r>
            <w:proofErr w:type="spellEnd"/>
            <w:r w:rsidRPr="006C7B63">
              <w:t xml:space="preserve">, а </w:t>
            </w:r>
            <w:proofErr w:type="spellStart"/>
            <w:r w:rsidRPr="006C7B63">
              <w:t>којима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није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остављена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могућност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допуне</w:t>
            </w:r>
            <w:proofErr w:type="spellEnd"/>
            <w:r w:rsidRPr="006C7B63">
              <w:t xml:space="preserve">, </w:t>
            </w:r>
            <w:proofErr w:type="spellStart"/>
            <w:r w:rsidRPr="006C7B63">
              <w:t>могу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изјавити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приговор</w:t>
            </w:r>
            <w:proofErr w:type="spellEnd"/>
            <w:r w:rsidRPr="006C7B63">
              <w:t xml:space="preserve"> у </w:t>
            </w:r>
            <w:proofErr w:type="spellStart"/>
            <w:r w:rsidRPr="006C7B63">
              <w:t>року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од</w:t>
            </w:r>
            <w:proofErr w:type="spellEnd"/>
            <w:r w:rsidRPr="006C7B63">
              <w:t xml:space="preserve"> </w:t>
            </w:r>
            <w:r w:rsidRPr="00DE2751">
              <w:rPr>
                <w:b/>
                <w:bCs/>
              </w:rPr>
              <w:t xml:space="preserve">5 </w:t>
            </w:r>
            <w:proofErr w:type="spellStart"/>
            <w:r w:rsidRPr="00DE2751">
              <w:rPr>
                <w:b/>
                <w:bCs/>
              </w:rPr>
              <w:t>дана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од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дана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објаве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евиденције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формално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неисправних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пријава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на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wеб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страници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Министарства</w:t>
            </w:r>
            <w:proofErr w:type="spellEnd"/>
            <w:r w:rsidRPr="006C7B63">
              <w:t>.</w:t>
            </w:r>
          </w:p>
          <w:p w14:paraId="0269D1FC" w14:textId="5271141F" w:rsidR="00FD1038" w:rsidRPr="00D07C20" w:rsidRDefault="00FD1038" w:rsidP="00D07C20">
            <w:pPr>
              <w:rPr>
                <w:color w:val="FF0000"/>
              </w:rPr>
            </w:pPr>
          </w:p>
        </w:tc>
      </w:tr>
      <w:tr w:rsidR="00E84B58" w14:paraId="5EC739E9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6A4D0FEF" w14:textId="1B135DAD" w:rsidR="00E84B58" w:rsidRDefault="00E84B58" w:rsidP="00E84B58">
            <w:r>
              <w:lastRenderedPageBreak/>
              <w:t>1</w:t>
            </w:r>
            <w:r w:rsidR="00486483">
              <w:t>3.</w:t>
            </w:r>
          </w:p>
        </w:tc>
        <w:tc>
          <w:tcPr>
            <w:tcW w:w="3240" w:type="dxa"/>
            <w:vAlign w:val="center"/>
          </w:tcPr>
          <w:p w14:paraId="43D9EF71" w14:textId="63F29239" w:rsidR="00E84B58" w:rsidRPr="00A052B2" w:rsidRDefault="008478FD" w:rsidP="00E84B58">
            <w:proofErr w:type="spellStart"/>
            <w:r w:rsidRPr="00A052B2">
              <w:t>Опис</w:t>
            </w:r>
            <w:proofErr w:type="spellEnd"/>
            <w:r w:rsidRPr="00A052B2">
              <w:t xml:space="preserve"> </w:t>
            </w:r>
            <w:proofErr w:type="spellStart"/>
            <w:r w:rsidRPr="00A052B2">
              <w:t>поступка</w:t>
            </w:r>
            <w:proofErr w:type="spellEnd"/>
            <w:r w:rsidRPr="00A052B2">
              <w:t xml:space="preserve"> </w:t>
            </w:r>
            <w:proofErr w:type="spellStart"/>
            <w:r w:rsidRPr="00A052B2">
              <w:t>одабира</w:t>
            </w:r>
            <w:proofErr w:type="spellEnd"/>
            <w:r w:rsidRPr="00A052B2">
              <w:t xml:space="preserve"> </w:t>
            </w:r>
            <w:proofErr w:type="spellStart"/>
            <w:r w:rsidRPr="00A052B2">
              <w:t>пројеката</w:t>
            </w:r>
            <w:proofErr w:type="spellEnd"/>
            <w:r w:rsidRPr="00A052B2">
              <w:t xml:space="preserve"> </w:t>
            </w:r>
            <w:proofErr w:type="spellStart"/>
            <w:r w:rsidRPr="00A052B2">
              <w:t>који</w:t>
            </w:r>
            <w:proofErr w:type="spellEnd"/>
            <w:r w:rsidRPr="00A052B2">
              <w:t xml:space="preserve"> </w:t>
            </w:r>
            <w:proofErr w:type="spellStart"/>
            <w:r w:rsidRPr="00A052B2">
              <w:t>ће</w:t>
            </w:r>
            <w:proofErr w:type="spellEnd"/>
            <w:r w:rsidRPr="00A052B2">
              <w:t xml:space="preserve"> </w:t>
            </w:r>
            <w:proofErr w:type="spellStart"/>
            <w:r w:rsidRPr="00A052B2">
              <w:t>бити</w:t>
            </w:r>
            <w:proofErr w:type="spellEnd"/>
            <w:r w:rsidRPr="00A052B2">
              <w:t xml:space="preserve"> </w:t>
            </w:r>
            <w:proofErr w:type="spellStart"/>
            <w:r w:rsidRPr="00A052B2">
              <w:t>финансирани</w:t>
            </w:r>
            <w:proofErr w:type="spellEnd"/>
          </w:p>
        </w:tc>
        <w:tc>
          <w:tcPr>
            <w:tcW w:w="6390" w:type="dxa"/>
            <w:vAlign w:val="center"/>
          </w:tcPr>
          <w:p w14:paraId="1AC3A615" w14:textId="28C1FE37" w:rsidR="00E84B58" w:rsidRDefault="008478FD" w:rsidP="00E84B58">
            <w:proofErr w:type="spellStart"/>
            <w:r>
              <w:t>Оцјену</w:t>
            </w:r>
            <w:proofErr w:type="spellEnd"/>
            <w:r>
              <w:t xml:space="preserve"> </w:t>
            </w:r>
            <w:proofErr w:type="spellStart"/>
            <w:r>
              <w:t>поднесених</w:t>
            </w:r>
            <w:proofErr w:type="spellEnd"/>
            <w:r>
              <w:t xml:space="preserve"> </w:t>
            </w:r>
            <w:proofErr w:type="spellStart"/>
            <w:r>
              <w:t>пријава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Стални</w:t>
            </w:r>
            <w:proofErr w:type="spellEnd"/>
            <w:r>
              <w:t xml:space="preserve"> </w:t>
            </w:r>
            <w:proofErr w:type="spellStart"/>
            <w:r w:rsidRPr="00A052B2">
              <w:t>јавни</w:t>
            </w:r>
            <w:proofErr w:type="spellEnd"/>
            <w:r w:rsidRPr="00A052B2">
              <w:t xml:space="preserve"> </w:t>
            </w:r>
            <w:proofErr w:type="spellStart"/>
            <w:r w:rsidRPr="00A052B2">
              <w:t>позив</w:t>
            </w:r>
            <w:proofErr w:type="spellEnd"/>
            <w:r>
              <w:t>,</w:t>
            </w:r>
            <w:r w:rsidRPr="00A052B2">
              <w:t xml:space="preserve">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r>
              <w:t>испуниле</w:t>
            </w:r>
            <w:proofErr w:type="spellEnd"/>
            <w:r>
              <w:t xml:space="preserve"> </w:t>
            </w:r>
            <w:proofErr w:type="spellStart"/>
            <w:r>
              <w:t>формално</w:t>
            </w:r>
            <w:proofErr w:type="spellEnd"/>
            <w:r>
              <w:t xml:space="preserve"> </w:t>
            </w:r>
            <w:proofErr w:type="spellStart"/>
            <w:r>
              <w:t>правне</w:t>
            </w:r>
            <w:proofErr w:type="spellEnd"/>
            <w:r>
              <w:t xml:space="preserve"> </w:t>
            </w:r>
            <w:proofErr w:type="spellStart"/>
            <w:r>
              <w:t>услове</w:t>
            </w:r>
            <w:proofErr w:type="spellEnd"/>
            <w:r>
              <w:t xml:space="preserve"> (</w:t>
            </w:r>
            <w:proofErr w:type="spellStart"/>
            <w:r>
              <w:t>задовољили</w:t>
            </w:r>
            <w:proofErr w:type="spellEnd"/>
            <w:r>
              <w:t xml:space="preserve"> </w:t>
            </w:r>
            <w:proofErr w:type="spellStart"/>
            <w:r>
              <w:t>услове</w:t>
            </w:r>
            <w:proofErr w:type="spellEnd"/>
            <w:r>
              <w:t xml:space="preserve"> </w:t>
            </w:r>
            <w:proofErr w:type="spellStart"/>
            <w:r>
              <w:t>селекције</w:t>
            </w:r>
            <w:proofErr w:type="spellEnd"/>
            <w:r>
              <w:t xml:space="preserve"> </w:t>
            </w:r>
            <w:proofErr w:type="spellStart"/>
            <w:r>
              <w:t>пројеката</w:t>
            </w:r>
            <w:proofErr w:type="spellEnd"/>
            <w:r>
              <w:t xml:space="preserve">) </w:t>
            </w:r>
            <w:proofErr w:type="spellStart"/>
            <w:r>
              <w:t>ће</w:t>
            </w:r>
            <w:proofErr w:type="spellEnd"/>
            <w:r>
              <w:t xml:space="preserve"> </w:t>
            </w:r>
            <w:proofErr w:type="spellStart"/>
            <w:r>
              <w:t>вршити</w:t>
            </w:r>
            <w:proofErr w:type="spellEnd"/>
            <w:r>
              <w:t xml:space="preserve"> </w:t>
            </w:r>
            <w:proofErr w:type="spellStart"/>
            <w:r>
              <w:t>Комисија</w:t>
            </w:r>
            <w:proofErr w:type="spellEnd"/>
            <w:r>
              <w:t xml:space="preserve"> </w:t>
            </w:r>
            <w:proofErr w:type="spellStart"/>
            <w:r>
              <w:t>Федералног</w:t>
            </w:r>
            <w:proofErr w:type="spellEnd"/>
            <w:r>
              <w:t xml:space="preserve"> </w:t>
            </w:r>
            <w:proofErr w:type="spellStart"/>
            <w:r>
              <w:t>министарства</w:t>
            </w:r>
            <w:proofErr w:type="spellEnd"/>
            <w:r>
              <w:t xml:space="preserve"> </w:t>
            </w:r>
            <w:proofErr w:type="spellStart"/>
            <w:r>
              <w:t>образовања</w:t>
            </w:r>
            <w:proofErr w:type="spellEnd"/>
            <w:r>
              <w:t xml:space="preserve"> и </w:t>
            </w:r>
            <w:proofErr w:type="spellStart"/>
            <w:r>
              <w:t>науке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основу</w:t>
            </w:r>
            <w:proofErr w:type="spellEnd"/>
            <w:r>
              <w:t xml:space="preserve"> </w:t>
            </w:r>
            <w:proofErr w:type="spellStart"/>
            <w:r>
              <w:t>критерија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прилога</w:t>
            </w:r>
            <w:proofErr w:type="spellEnd"/>
            <w:r>
              <w:t xml:space="preserve"> </w:t>
            </w:r>
            <w:proofErr w:type="spellStart"/>
            <w:r>
              <w:t>Сталног</w:t>
            </w:r>
            <w:proofErr w:type="spellEnd"/>
            <w:r>
              <w:t xml:space="preserve"> </w:t>
            </w:r>
            <w:proofErr w:type="spellStart"/>
            <w:r>
              <w:t>јавног</w:t>
            </w:r>
            <w:proofErr w:type="spellEnd"/>
            <w:r>
              <w:t xml:space="preserve"> </w:t>
            </w:r>
            <w:proofErr w:type="spellStart"/>
            <w:r>
              <w:t>позива</w:t>
            </w:r>
            <w:proofErr w:type="spellEnd"/>
            <w:r>
              <w:t>.</w:t>
            </w:r>
          </w:p>
        </w:tc>
      </w:tr>
      <w:tr w:rsidR="00E84B58" w14:paraId="48109685" w14:textId="77777777" w:rsidTr="008D7232">
        <w:trPr>
          <w:trHeight w:val="657"/>
        </w:trPr>
        <w:tc>
          <w:tcPr>
            <w:tcW w:w="540" w:type="dxa"/>
            <w:vAlign w:val="center"/>
          </w:tcPr>
          <w:p w14:paraId="1C058806" w14:textId="28F941E9" w:rsidR="00E84B58" w:rsidRDefault="00E84B58" w:rsidP="00E84B58">
            <w:r>
              <w:t>1</w:t>
            </w:r>
            <w:r w:rsidR="00486483">
              <w:t>4.</w:t>
            </w:r>
          </w:p>
        </w:tc>
        <w:tc>
          <w:tcPr>
            <w:tcW w:w="3240" w:type="dxa"/>
            <w:vAlign w:val="center"/>
          </w:tcPr>
          <w:p w14:paraId="01B1BA07" w14:textId="56F89CF4" w:rsidR="00E84B58" w:rsidRPr="00287EE4" w:rsidRDefault="008478FD" w:rsidP="00E84B58">
            <w:proofErr w:type="spellStart"/>
            <w:r w:rsidRPr="00287EE4">
              <w:t>Начин</w:t>
            </w:r>
            <w:proofErr w:type="spellEnd"/>
            <w:r w:rsidRPr="00287EE4">
              <w:t xml:space="preserve"> </w:t>
            </w:r>
            <w:proofErr w:type="spellStart"/>
            <w:r w:rsidRPr="00287EE4">
              <w:t>подношења</w:t>
            </w:r>
            <w:proofErr w:type="spellEnd"/>
            <w:r w:rsidRPr="00287EE4">
              <w:t xml:space="preserve"> </w:t>
            </w:r>
            <w:proofErr w:type="spellStart"/>
            <w:r w:rsidRPr="00287EE4">
              <w:t>приговора</w:t>
            </w:r>
            <w:proofErr w:type="spellEnd"/>
          </w:p>
        </w:tc>
        <w:tc>
          <w:tcPr>
            <w:tcW w:w="6390" w:type="dxa"/>
            <w:vAlign w:val="center"/>
          </w:tcPr>
          <w:p w14:paraId="1A3A425D" w14:textId="350935A3" w:rsidR="00E84B58" w:rsidRDefault="008478FD" w:rsidP="00E84B58">
            <w:proofErr w:type="spellStart"/>
            <w:r w:rsidRPr="006C7B63">
              <w:t>Објава</w:t>
            </w:r>
            <w:proofErr w:type="spellEnd"/>
            <w:r w:rsidRPr="006C7B63">
              <w:t xml:space="preserve"> о </w:t>
            </w:r>
            <w:proofErr w:type="spellStart"/>
            <w:r w:rsidRPr="006C7B63">
              <w:t>роковима</w:t>
            </w:r>
            <w:proofErr w:type="spellEnd"/>
            <w:r w:rsidRPr="006C7B63">
              <w:t xml:space="preserve"> и </w:t>
            </w:r>
            <w:proofErr w:type="spellStart"/>
            <w:r w:rsidRPr="006C7B63">
              <w:t>начину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подношења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приговора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на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резултате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Сталног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јавног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позива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ће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бити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објављена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на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wе</w:t>
            </w:r>
            <w:r>
              <w:t>b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страници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Министарства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уз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резултате</w:t>
            </w:r>
            <w:proofErr w:type="spellEnd"/>
            <w:r w:rsidRPr="006C7B63">
              <w:t xml:space="preserve"> о </w:t>
            </w:r>
            <w:proofErr w:type="spellStart"/>
            <w:r w:rsidRPr="006C7B63">
              <w:t>додјели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средстава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путем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Сталног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јавног</w:t>
            </w:r>
            <w:proofErr w:type="spellEnd"/>
            <w:r w:rsidRPr="006C7B63">
              <w:t xml:space="preserve"> </w:t>
            </w:r>
            <w:proofErr w:type="spellStart"/>
            <w:r w:rsidRPr="006C7B63">
              <w:t>позива</w:t>
            </w:r>
            <w:proofErr w:type="spellEnd"/>
            <w:r w:rsidRPr="006C7B63">
              <w:t>.</w:t>
            </w:r>
          </w:p>
        </w:tc>
      </w:tr>
      <w:tr w:rsidR="00E84B58" w14:paraId="2DB380BC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3F6B47A8" w14:textId="0107B305" w:rsidR="00E84B58" w:rsidRDefault="00E84B58" w:rsidP="00E84B58">
            <w:r>
              <w:lastRenderedPageBreak/>
              <w:t>1</w:t>
            </w:r>
            <w:r w:rsidR="00486483">
              <w:t>5.</w:t>
            </w:r>
          </w:p>
        </w:tc>
        <w:tc>
          <w:tcPr>
            <w:tcW w:w="3240" w:type="dxa"/>
            <w:vAlign w:val="center"/>
          </w:tcPr>
          <w:p w14:paraId="11327019" w14:textId="73BEF560" w:rsidR="00E84B58" w:rsidRPr="00287EE4" w:rsidRDefault="00EF3F14" w:rsidP="00E84B58">
            <w:proofErr w:type="spellStart"/>
            <w:r w:rsidRPr="00287EE4">
              <w:t>Опис</w:t>
            </w:r>
            <w:proofErr w:type="spellEnd"/>
            <w:r w:rsidRPr="00287EE4">
              <w:t xml:space="preserve"> </w:t>
            </w:r>
            <w:proofErr w:type="spellStart"/>
            <w:r w:rsidRPr="00287EE4">
              <w:t>поступка</w:t>
            </w:r>
            <w:proofErr w:type="spellEnd"/>
            <w:r w:rsidRPr="00287EE4">
              <w:t xml:space="preserve"> </w:t>
            </w:r>
            <w:proofErr w:type="spellStart"/>
            <w:r w:rsidRPr="00287EE4">
              <w:t>уговарања</w:t>
            </w:r>
            <w:proofErr w:type="spellEnd"/>
            <w:r w:rsidRPr="00287EE4">
              <w:t xml:space="preserve"> </w:t>
            </w:r>
            <w:proofErr w:type="spellStart"/>
            <w:r w:rsidRPr="00287EE4">
              <w:t>одабраних</w:t>
            </w:r>
            <w:proofErr w:type="spellEnd"/>
            <w:r w:rsidRPr="00287EE4">
              <w:t xml:space="preserve"> </w:t>
            </w:r>
            <w:proofErr w:type="spellStart"/>
            <w:r w:rsidRPr="00287EE4">
              <w:t>програма</w:t>
            </w:r>
            <w:proofErr w:type="spellEnd"/>
            <w:r w:rsidRPr="00287EE4">
              <w:t xml:space="preserve"> и </w:t>
            </w:r>
            <w:proofErr w:type="spellStart"/>
            <w:r w:rsidRPr="00287EE4">
              <w:t>пројеката</w:t>
            </w:r>
            <w:proofErr w:type="spellEnd"/>
          </w:p>
        </w:tc>
        <w:tc>
          <w:tcPr>
            <w:tcW w:w="6390" w:type="dxa"/>
            <w:vAlign w:val="center"/>
          </w:tcPr>
          <w:p w14:paraId="57031E70" w14:textId="78AADA54" w:rsidR="00E84B58" w:rsidRDefault="00EF3F14" w:rsidP="00E84B58">
            <w:proofErr w:type="spellStart"/>
            <w:r w:rsidRPr="001534F8">
              <w:t>Са</w:t>
            </w:r>
            <w:proofErr w:type="spellEnd"/>
            <w:r w:rsidRPr="001534F8">
              <w:t xml:space="preserve"> </w:t>
            </w:r>
            <w:proofErr w:type="spellStart"/>
            <w:r w:rsidRPr="001534F8">
              <w:t>корисницима</w:t>
            </w:r>
            <w:proofErr w:type="spellEnd"/>
            <w:r w:rsidRPr="001534F8">
              <w:t xml:space="preserve"> </w:t>
            </w:r>
            <w:proofErr w:type="spellStart"/>
            <w:r w:rsidRPr="001534F8">
              <w:t>средстава</w:t>
            </w:r>
            <w:proofErr w:type="spellEnd"/>
            <w:r w:rsidRPr="001534F8">
              <w:t xml:space="preserve">, </w:t>
            </w:r>
            <w:proofErr w:type="spellStart"/>
            <w:r w:rsidRPr="001534F8">
              <w:t>федералн</w:t>
            </w:r>
            <w:r>
              <w:t>а</w:t>
            </w:r>
            <w:proofErr w:type="spellEnd"/>
            <w:r>
              <w:t xml:space="preserve"> </w:t>
            </w:r>
            <w:proofErr w:type="spellStart"/>
            <w:r>
              <w:t>министрица</w:t>
            </w:r>
            <w:proofErr w:type="spellEnd"/>
            <w:r w:rsidRPr="001534F8">
              <w:t xml:space="preserve"> </w:t>
            </w:r>
            <w:proofErr w:type="spellStart"/>
            <w:r w:rsidRPr="001534F8">
              <w:t>образовања</w:t>
            </w:r>
            <w:proofErr w:type="spellEnd"/>
            <w:r w:rsidRPr="001534F8">
              <w:t xml:space="preserve"> и </w:t>
            </w:r>
            <w:proofErr w:type="spellStart"/>
            <w:r w:rsidRPr="001534F8">
              <w:t>науке</w:t>
            </w:r>
            <w:proofErr w:type="spellEnd"/>
            <w:r w:rsidRPr="001534F8">
              <w:t xml:space="preserve"> </w:t>
            </w:r>
            <w:proofErr w:type="spellStart"/>
            <w:r w:rsidRPr="001534F8">
              <w:t>ће</w:t>
            </w:r>
            <w:proofErr w:type="spellEnd"/>
            <w:r w:rsidRPr="001534F8">
              <w:t xml:space="preserve"> </w:t>
            </w:r>
            <w:proofErr w:type="spellStart"/>
            <w:r w:rsidRPr="001534F8">
              <w:t>потписати</w:t>
            </w:r>
            <w:proofErr w:type="spellEnd"/>
            <w:r w:rsidRPr="001534F8">
              <w:t xml:space="preserve"> </w:t>
            </w:r>
            <w:proofErr w:type="spellStart"/>
            <w:r w:rsidRPr="001534F8">
              <w:t>посебне</w:t>
            </w:r>
            <w:proofErr w:type="spellEnd"/>
            <w:r w:rsidRPr="001534F8">
              <w:t xml:space="preserve"> </w:t>
            </w:r>
            <w:proofErr w:type="spellStart"/>
            <w:r w:rsidRPr="001534F8">
              <w:t>уговоре</w:t>
            </w:r>
            <w:proofErr w:type="spellEnd"/>
            <w:r w:rsidRPr="001534F8">
              <w:t xml:space="preserve"> о </w:t>
            </w:r>
            <w:proofErr w:type="spellStart"/>
            <w:r w:rsidRPr="001534F8">
              <w:t>реализацији</w:t>
            </w:r>
            <w:proofErr w:type="spellEnd"/>
            <w:r w:rsidRPr="001534F8">
              <w:t xml:space="preserve"> </w:t>
            </w:r>
            <w:proofErr w:type="spellStart"/>
            <w:r w:rsidRPr="001534F8">
              <w:t>додијељених</w:t>
            </w:r>
            <w:proofErr w:type="spellEnd"/>
            <w:r w:rsidRPr="001534F8">
              <w:t xml:space="preserve"> </w:t>
            </w:r>
            <w:proofErr w:type="spellStart"/>
            <w:r w:rsidRPr="001534F8">
              <w:t>средстава</w:t>
            </w:r>
            <w:proofErr w:type="spellEnd"/>
            <w:r w:rsidRPr="001534F8">
              <w:t xml:space="preserve">, </w:t>
            </w:r>
            <w:proofErr w:type="spellStart"/>
            <w:r w:rsidRPr="001534F8">
              <w:t>којим</w:t>
            </w:r>
            <w:proofErr w:type="spellEnd"/>
            <w:r w:rsidRPr="001534F8">
              <w:t xml:space="preserve"> </w:t>
            </w:r>
            <w:proofErr w:type="spellStart"/>
            <w:r w:rsidRPr="001534F8">
              <w:t>ће</w:t>
            </w:r>
            <w:proofErr w:type="spellEnd"/>
            <w:r w:rsidRPr="001534F8">
              <w:t xml:space="preserve"> </w:t>
            </w:r>
            <w:proofErr w:type="spellStart"/>
            <w:r w:rsidRPr="001534F8">
              <w:t>се</w:t>
            </w:r>
            <w:proofErr w:type="spellEnd"/>
            <w:r w:rsidRPr="001534F8">
              <w:t xml:space="preserve"> </w:t>
            </w:r>
            <w:proofErr w:type="spellStart"/>
            <w:r w:rsidRPr="001534F8">
              <w:t>регули</w:t>
            </w:r>
            <w:r w:rsidR="00597786">
              <w:rPr>
                <w:rFonts w:cstheme="minorHAnsi"/>
              </w:rPr>
              <w:t>с</w:t>
            </w:r>
            <w:r w:rsidRPr="001534F8">
              <w:t>ати</w:t>
            </w:r>
            <w:proofErr w:type="spellEnd"/>
            <w:r w:rsidRPr="001534F8">
              <w:t xml:space="preserve"> </w:t>
            </w:r>
            <w:proofErr w:type="spellStart"/>
            <w:r w:rsidRPr="001534F8">
              <w:t>начин</w:t>
            </w:r>
            <w:proofErr w:type="spellEnd"/>
            <w:r w:rsidRPr="001534F8">
              <w:t xml:space="preserve"> и </w:t>
            </w:r>
            <w:proofErr w:type="spellStart"/>
            <w:r w:rsidRPr="001534F8">
              <w:t>рокови</w:t>
            </w:r>
            <w:proofErr w:type="spellEnd"/>
            <w:r w:rsidRPr="001534F8">
              <w:t xml:space="preserve"> </w:t>
            </w:r>
            <w:proofErr w:type="spellStart"/>
            <w:r w:rsidRPr="001534F8">
              <w:t>утрошка</w:t>
            </w:r>
            <w:proofErr w:type="spellEnd"/>
            <w:r w:rsidRPr="001534F8">
              <w:t xml:space="preserve"> </w:t>
            </w:r>
            <w:proofErr w:type="spellStart"/>
            <w:r w:rsidRPr="001534F8">
              <w:t>средстава</w:t>
            </w:r>
            <w:proofErr w:type="spellEnd"/>
            <w:r w:rsidRPr="001534F8">
              <w:t xml:space="preserve"> и </w:t>
            </w:r>
            <w:proofErr w:type="spellStart"/>
            <w:r w:rsidRPr="001534F8">
              <w:t>извјештавање</w:t>
            </w:r>
            <w:proofErr w:type="spellEnd"/>
            <w:r w:rsidRPr="001534F8">
              <w:t>.</w:t>
            </w:r>
          </w:p>
        </w:tc>
      </w:tr>
      <w:tr w:rsidR="00E84B58" w14:paraId="2E0B4FB8" w14:textId="77777777" w:rsidTr="008D7232">
        <w:trPr>
          <w:trHeight w:val="657"/>
        </w:trPr>
        <w:tc>
          <w:tcPr>
            <w:tcW w:w="540" w:type="dxa"/>
            <w:vAlign w:val="center"/>
          </w:tcPr>
          <w:p w14:paraId="5A5E822A" w14:textId="4574F35D" w:rsidR="00E84B58" w:rsidRDefault="00E84B58" w:rsidP="00E84B58">
            <w:r>
              <w:t>1</w:t>
            </w:r>
            <w:r w:rsidR="00486483">
              <w:t>6.</w:t>
            </w:r>
          </w:p>
        </w:tc>
        <w:tc>
          <w:tcPr>
            <w:tcW w:w="3240" w:type="dxa"/>
            <w:vAlign w:val="center"/>
          </w:tcPr>
          <w:p w14:paraId="019CC927" w14:textId="14FA5D6A" w:rsidR="00E84B58" w:rsidRPr="00A66572" w:rsidRDefault="00E22E85" w:rsidP="00E84B58">
            <w:proofErr w:type="spellStart"/>
            <w:r w:rsidRPr="00A66572">
              <w:t>Опис</w:t>
            </w:r>
            <w:proofErr w:type="spellEnd"/>
            <w:r w:rsidRPr="00A66572">
              <w:t xml:space="preserve"> </w:t>
            </w:r>
            <w:proofErr w:type="spellStart"/>
            <w:r w:rsidRPr="00A66572">
              <w:t>поступка</w:t>
            </w:r>
            <w:proofErr w:type="spellEnd"/>
            <w:r w:rsidRPr="00A66572">
              <w:t xml:space="preserve"> </w:t>
            </w:r>
            <w:proofErr w:type="spellStart"/>
            <w:r w:rsidRPr="00A66572">
              <w:t>праћења</w:t>
            </w:r>
            <w:proofErr w:type="spellEnd"/>
            <w:r w:rsidRPr="00A66572">
              <w:t xml:space="preserve"> </w:t>
            </w:r>
            <w:proofErr w:type="spellStart"/>
            <w:r w:rsidRPr="00A66572">
              <w:t>провођења</w:t>
            </w:r>
            <w:proofErr w:type="spellEnd"/>
            <w:r w:rsidRPr="00A66572">
              <w:t xml:space="preserve"> </w:t>
            </w:r>
            <w:proofErr w:type="spellStart"/>
            <w:r w:rsidRPr="00A66572">
              <w:t>програма</w:t>
            </w:r>
            <w:proofErr w:type="spellEnd"/>
            <w:r w:rsidRPr="00A66572">
              <w:t xml:space="preserve"> </w:t>
            </w:r>
            <w:proofErr w:type="spellStart"/>
            <w:r w:rsidRPr="00A66572">
              <w:t>или</w:t>
            </w:r>
            <w:proofErr w:type="spellEnd"/>
            <w:r w:rsidRPr="00A66572">
              <w:t xml:space="preserve"> </w:t>
            </w:r>
            <w:proofErr w:type="spellStart"/>
            <w:r w:rsidRPr="00A66572">
              <w:t>пројеката</w:t>
            </w:r>
            <w:proofErr w:type="spellEnd"/>
          </w:p>
        </w:tc>
        <w:tc>
          <w:tcPr>
            <w:tcW w:w="6390" w:type="dxa"/>
            <w:vAlign w:val="center"/>
          </w:tcPr>
          <w:p w14:paraId="76DD9789" w14:textId="46688EFB" w:rsidR="00E84B58" w:rsidRDefault="00D514F4" w:rsidP="00E84B58">
            <w:r>
              <w:t xml:space="preserve">У </w:t>
            </w:r>
            <w:proofErr w:type="spellStart"/>
            <w:r>
              <w:t>складу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уговором</w:t>
            </w:r>
            <w:proofErr w:type="spellEnd"/>
            <w:r>
              <w:t xml:space="preserve"> о </w:t>
            </w:r>
            <w:proofErr w:type="spellStart"/>
            <w:r>
              <w:t>реализацији</w:t>
            </w:r>
            <w:proofErr w:type="spellEnd"/>
            <w:r>
              <w:t xml:space="preserve"> </w:t>
            </w:r>
            <w:proofErr w:type="spellStart"/>
            <w:r>
              <w:t>пројекта</w:t>
            </w:r>
            <w:proofErr w:type="spellEnd"/>
            <w:r>
              <w:t xml:space="preserve">, </w:t>
            </w:r>
            <w:proofErr w:type="spellStart"/>
            <w:r>
              <w:t>корисник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обавезан</w:t>
            </w:r>
            <w:proofErr w:type="spellEnd"/>
            <w:r>
              <w:t xml:space="preserve"> </w:t>
            </w:r>
            <w:proofErr w:type="spellStart"/>
            <w:r>
              <w:t>доставити</w:t>
            </w:r>
            <w:proofErr w:type="spellEnd"/>
            <w:r>
              <w:t xml:space="preserve"> </w:t>
            </w:r>
            <w:proofErr w:type="spellStart"/>
            <w:r>
              <w:t>извјештај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доказима</w:t>
            </w:r>
            <w:proofErr w:type="spellEnd"/>
            <w:r>
              <w:t xml:space="preserve"> о </w:t>
            </w:r>
            <w:proofErr w:type="spellStart"/>
            <w:r>
              <w:t>намјенском</w:t>
            </w:r>
            <w:proofErr w:type="spellEnd"/>
            <w:r>
              <w:t xml:space="preserve"> </w:t>
            </w:r>
            <w:proofErr w:type="spellStart"/>
            <w:r>
              <w:t>утрошку</w:t>
            </w:r>
            <w:proofErr w:type="spellEnd"/>
            <w:r>
              <w:t xml:space="preserve"> </w:t>
            </w:r>
            <w:proofErr w:type="spellStart"/>
            <w:r>
              <w:t>додијељених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. </w:t>
            </w:r>
            <w:proofErr w:type="spellStart"/>
            <w:r>
              <w:t>Уколико</w:t>
            </w:r>
            <w:proofErr w:type="spellEnd"/>
            <w:r>
              <w:t xml:space="preserve"> </w:t>
            </w:r>
            <w:proofErr w:type="spellStart"/>
            <w:r>
              <w:t>корисник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у </w:t>
            </w:r>
            <w:proofErr w:type="spellStart"/>
            <w:r>
              <w:t>року</w:t>
            </w:r>
            <w:proofErr w:type="spellEnd"/>
            <w:r>
              <w:t xml:space="preserve"> </w:t>
            </w:r>
            <w:proofErr w:type="spellStart"/>
            <w:r w:rsidRPr="00EF3436">
              <w:t>утврђеном</w:t>
            </w:r>
            <w:proofErr w:type="spellEnd"/>
            <w:r w:rsidRPr="00EF3436">
              <w:t xml:space="preserve"> </w:t>
            </w:r>
            <w:r>
              <w:t xml:space="preserve">у </w:t>
            </w:r>
            <w:proofErr w:type="spellStart"/>
            <w:r>
              <w:t>уговору</w:t>
            </w:r>
            <w:proofErr w:type="spellEnd"/>
            <w:r>
              <w:t xml:space="preserve"> </w:t>
            </w:r>
            <w:proofErr w:type="spellStart"/>
            <w:r w:rsidRPr="00EF3436">
              <w:t>не</w:t>
            </w:r>
            <w:proofErr w:type="spellEnd"/>
            <w:r w:rsidRPr="00EF3436">
              <w:t xml:space="preserve"> </w:t>
            </w:r>
            <w:proofErr w:type="spellStart"/>
            <w:r w:rsidRPr="00EF3436">
              <w:t>достави</w:t>
            </w:r>
            <w:proofErr w:type="spellEnd"/>
            <w:r w:rsidRPr="00EF3436">
              <w:t xml:space="preserve"> </w:t>
            </w:r>
            <w:proofErr w:type="spellStart"/>
            <w:r w:rsidRPr="00EF3436">
              <w:t>Извјештај</w:t>
            </w:r>
            <w:proofErr w:type="spellEnd"/>
            <w:r w:rsidRPr="00EF3436">
              <w:t xml:space="preserve"> о </w:t>
            </w:r>
            <w:proofErr w:type="spellStart"/>
            <w:r w:rsidRPr="00EF3436">
              <w:t>намјенском</w:t>
            </w:r>
            <w:proofErr w:type="spellEnd"/>
            <w:r w:rsidRPr="00EF3436">
              <w:t xml:space="preserve"> </w:t>
            </w:r>
            <w:proofErr w:type="spellStart"/>
            <w:r w:rsidRPr="00EF3436">
              <w:t>утрошку</w:t>
            </w:r>
            <w:proofErr w:type="spellEnd"/>
            <w:r w:rsidRPr="00EF3436">
              <w:t xml:space="preserve"> </w:t>
            </w:r>
            <w:proofErr w:type="spellStart"/>
            <w:r w:rsidRPr="00EF3436">
              <w:t>додијељених</w:t>
            </w:r>
            <w:proofErr w:type="spellEnd"/>
            <w:r w:rsidRPr="00EF3436">
              <w:t xml:space="preserve"> </w:t>
            </w:r>
            <w:proofErr w:type="spellStart"/>
            <w:r w:rsidRPr="00EF3436">
              <w:t>средстава</w:t>
            </w:r>
            <w:proofErr w:type="spellEnd"/>
            <w:r w:rsidRPr="00EF3436">
              <w:t xml:space="preserve"> </w:t>
            </w:r>
            <w:proofErr w:type="spellStart"/>
            <w:r w:rsidRPr="00EF3436">
              <w:t>или</w:t>
            </w:r>
            <w:proofErr w:type="spellEnd"/>
            <w:r w:rsidRPr="00EF3436">
              <w:t xml:space="preserve"> </w:t>
            </w:r>
            <w:proofErr w:type="spellStart"/>
            <w:r w:rsidRPr="00EF3436">
              <w:t>средства</w:t>
            </w:r>
            <w:proofErr w:type="spellEnd"/>
            <w:r w:rsidRPr="00EF3436">
              <w:t xml:space="preserve"> </w:t>
            </w:r>
            <w:proofErr w:type="spellStart"/>
            <w:r w:rsidRPr="00EF3436">
              <w:t>утроши</w:t>
            </w:r>
            <w:proofErr w:type="spellEnd"/>
            <w:r w:rsidRPr="00EF3436">
              <w:t xml:space="preserve"> </w:t>
            </w:r>
            <w:proofErr w:type="spellStart"/>
            <w:r w:rsidRPr="00EF3436">
              <w:t>ненамјенски</w:t>
            </w:r>
            <w:proofErr w:type="spellEnd"/>
            <w:r w:rsidRPr="00EF3436">
              <w:t xml:space="preserve">, </w:t>
            </w:r>
            <w:proofErr w:type="spellStart"/>
            <w:r w:rsidRPr="00EF3436">
              <w:t>Министарство</w:t>
            </w:r>
            <w:proofErr w:type="spellEnd"/>
            <w:r w:rsidRPr="00EF3436">
              <w:t xml:space="preserve"> </w:t>
            </w:r>
            <w:proofErr w:type="spellStart"/>
            <w:r w:rsidRPr="00EF3436">
              <w:t>ће</w:t>
            </w:r>
            <w:proofErr w:type="spellEnd"/>
            <w:r w:rsidRPr="00EF3436">
              <w:t xml:space="preserve"> </w:t>
            </w:r>
            <w:proofErr w:type="spellStart"/>
            <w:r>
              <w:t>подузети</w:t>
            </w:r>
            <w:proofErr w:type="spellEnd"/>
            <w:r>
              <w:t xml:space="preserve"> </w:t>
            </w:r>
            <w:proofErr w:type="spellStart"/>
            <w:r>
              <w:t>одговарајуће</w:t>
            </w:r>
            <w:proofErr w:type="spellEnd"/>
            <w:r>
              <w:t xml:space="preserve"> </w:t>
            </w:r>
            <w:proofErr w:type="spellStart"/>
            <w:r>
              <w:t>мјере</w:t>
            </w:r>
            <w:proofErr w:type="spellEnd"/>
            <w:r>
              <w:t xml:space="preserve"> у </w:t>
            </w:r>
            <w:proofErr w:type="spellStart"/>
            <w:r>
              <w:t>складу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одредбама</w:t>
            </w:r>
            <w:proofErr w:type="spellEnd"/>
            <w:r>
              <w:t xml:space="preserve"> </w:t>
            </w:r>
            <w:proofErr w:type="spellStart"/>
            <w:r>
              <w:t>закљученог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  <w:r>
              <w:t xml:space="preserve"> и </w:t>
            </w:r>
            <w:r w:rsidRPr="00EF3436">
              <w:t xml:space="preserve">у </w:t>
            </w:r>
            <w:proofErr w:type="spellStart"/>
            <w:r w:rsidRPr="00EF3436">
              <w:t>складу</w:t>
            </w:r>
            <w:proofErr w:type="spellEnd"/>
            <w:r w:rsidRPr="00EF3436">
              <w:t xml:space="preserve"> </w:t>
            </w:r>
            <w:proofErr w:type="spellStart"/>
            <w:r w:rsidRPr="00EF3436">
              <w:t>са</w:t>
            </w:r>
            <w:proofErr w:type="spellEnd"/>
            <w:r w:rsidRPr="00EF3436">
              <w:t xml:space="preserve"> </w:t>
            </w:r>
            <w:proofErr w:type="spellStart"/>
            <w:r w:rsidRPr="00EF3436">
              <w:t>законом</w:t>
            </w:r>
            <w:proofErr w:type="spellEnd"/>
            <w:r w:rsidRPr="00EF3436">
              <w:t>.</w:t>
            </w:r>
          </w:p>
        </w:tc>
      </w:tr>
      <w:tr w:rsidR="00E84B58" w14:paraId="2A5E4DB1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02FE08E9" w14:textId="07ED759B" w:rsidR="00E84B58" w:rsidRDefault="00E84B58" w:rsidP="00E84B58">
            <w:r w:rsidRPr="00F33EAF">
              <w:t>1</w:t>
            </w:r>
            <w:r w:rsidR="00486483">
              <w:t>7.</w:t>
            </w:r>
          </w:p>
        </w:tc>
        <w:tc>
          <w:tcPr>
            <w:tcW w:w="3240" w:type="dxa"/>
            <w:vAlign w:val="center"/>
          </w:tcPr>
          <w:p w14:paraId="67B2E184" w14:textId="6AD6A5AE" w:rsidR="00E84B58" w:rsidRPr="000907CB" w:rsidRDefault="00D514F4" w:rsidP="00E84B58">
            <w:proofErr w:type="spellStart"/>
            <w:r w:rsidRPr="000907CB">
              <w:t>Оквирни</w:t>
            </w:r>
            <w:proofErr w:type="spellEnd"/>
            <w:r w:rsidRPr="000907CB">
              <w:t xml:space="preserve"> </w:t>
            </w:r>
            <w:proofErr w:type="spellStart"/>
            <w:r>
              <w:t>рок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окончање</w:t>
            </w:r>
            <w:proofErr w:type="spellEnd"/>
            <w:r>
              <w:t xml:space="preserve"> </w:t>
            </w:r>
            <w:proofErr w:type="spellStart"/>
            <w:r>
              <w:t>свих</w:t>
            </w:r>
            <w:proofErr w:type="spellEnd"/>
            <w:r>
              <w:t xml:space="preserve"> </w:t>
            </w:r>
            <w:proofErr w:type="spellStart"/>
            <w:r>
              <w:t>поступака</w:t>
            </w:r>
            <w:proofErr w:type="spellEnd"/>
            <w:r>
              <w:t xml:space="preserve"> </w:t>
            </w:r>
            <w:proofErr w:type="spellStart"/>
            <w:r>
              <w:t>обухваћених</w:t>
            </w:r>
            <w:proofErr w:type="spellEnd"/>
            <w:r>
              <w:t xml:space="preserve"> </w:t>
            </w:r>
            <w:proofErr w:type="spellStart"/>
            <w:r>
              <w:t>Сталним</w:t>
            </w:r>
            <w:proofErr w:type="spellEnd"/>
            <w:r>
              <w:t xml:space="preserve"> </w:t>
            </w:r>
            <w:proofErr w:type="spellStart"/>
            <w:r>
              <w:t>јавним</w:t>
            </w:r>
            <w:proofErr w:type="spellEnd"/>
            <w:r>
              <w:t xml:space="preserve"> </w:t>
            </w:r>
            <w:proofErr w:type="spellStart"/>
            <w:r>
              <w:t>позивом</w:t>
            </w:r>
            <w:proofErr w:type="spellEnd"/>
          </w:p>
        </w:tc>
        <w:tc>
          <w:tcPr>
            <w:tcW w:w="6390" w:type="dxa"/>
            <w:vAlign w:val="center"/>
          </w:tcPr>
          <w:p w14:paraId="54826B61" w14:textId="682AD543" w:rsidR="00E84B58" w:rsidRDefault="00D514F4" w:rsidP="00E84B58">
            <w:proofErr w:type="spellStart"/>
            <w:r>
              <w:t>Децембар</w:t>
            </w:r>
            <w:proofErr w:type="spellEnd"/>
            <w:r>
              <w:t xml:space="preserve"> </w:t>
            </w:r>
            <w:r w:rsidRPr="00F33EAF">
              <w:t>202</w:t>
            </w:r>
            <w:r>
              <w:t>6</w:t>
            </w:r>
            <w:r w:rsidRPr="00F33EAF">
              <w:t xml:space="preserve">. </w:t>
            </w:r>
            <w:proofErr w:type="spellStart"/>
            <w:r w:rsidRPr="00F33EAF">
              <w:t>године</w:t>
            </w:r>
            <w:proofErr w:type="spellEnd"/>
          </w:p>
        </w:tc>
      </w:tr>
      <w:tr w:rsidR="00E84B58" w14:paraId="33BAD983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55304F10" w14:textId="6C2E84FD" w:rsidR="00E84B58" w:rsidRPr="00C50951" w:rsidRDefault="00F33EAF" w:rsidP="00E84B58">
            <w:r>
              <w:t>1</w:t>
            </w:r>
            <w:r w:rsidR="00486483">
              <w:t>8.</w:t>
            </w:r>
          </w:p>
        </w:tc>
        <w:tc>
          <w:tcPr>
            <w:tcW w:w="3240" w:type="dxa"/>
            <w:vAlign w:val="center"/>
          </w:tcPr>
          <w:p w14:paraId="3955F0EE" w14:textId="4997512C" w:rsidR="00E84B58" w:rsidRPr="00D514F4" w:rsidRDefault="00D514F4" w:rsidP="00E84B58">
            <w:proofErr w:type="spellStart"/>
            <w:r w:rsidRPr="00D514F4">
              <w:t>Датум</w:t>
            </w:r>
            <w:proofErr w:type="spellEnd"/>
            <w:r w:rsidRPr="00D514F4">
              <w:t xml:space="preserve"> </w:t>
            </w:r>
            <w:proofErr w:type="spellStart"/>
            <w:r w:rsidRPr="00D514F4">
              <w:t>објаве</w:t>
            </w:r>
            <w:proofErr w:type="spellEnd"/>
            <w:r w:rsidRPr="00D514F4">
              <w:t xml:space="preserve"> </w:t>
            </w:r>
            <w:proofErr w:type="spellStart"/>
            <w:r w:rsidRPr="00D514F4">
              <w:t>Сталног</w:t>
            </w:r>
            <w:proofErr w:type="spellEnd"/>
            <w:r w:rsidRPr="00D514F4">
              <w:t xml:space="preserve"> </w:t>
            </w:r>
            <w:proofErr w:type="spellStart"/>
            <w:r w:rsidRPr="00D514F4">
              <w:t>јавног</w:t>
            </w:r>
            <w:proofErr w:type="spellEnd"/>
            <w:r w:rsidRPr="00D514F4">
              <w:t xml:space="preserve"> </w:t>
            </w:r>
            <w:proofErr w:type="spellStart"/>
            <w:r w:rsidRPr="00D514F4">
              <w:t>позива</w:t>
            </w:r>
            <w:proofErr w:type="spellEnd"/>
            <w:r w:rsidRPr="00D514F4">
              <w:t>:</w:t>
            </w:r>
          </w:p>
        </w:tc>
        <w:tc>
          <w:tcPr>
            <w:tcW w:w="6390" w:type="dxa"/>
            <w:vAlign w:val="center"/>
          </w:tcPr>
          <w:p w14:paraId="3108A551" w14:textId="062D7155" w:rsidR="00E84B58" w:rsidRPr="00D514F4" w:rsidRDefault="00D514F4" w:rsidP="00E84B58">
            <w:r w:rsidRPr="00D514F4">
              <w:t xml:space="preserve">15.04.2026. </w:t>
            </w:r>
            <w:proofErr w:type="spellStart"/>
            <w:r w:rsidRPr="00D514F4">
              <w:t>године</w:t>
            </w:r>
            <w:proofErr w:type="spellEnd"/>
          </w:p>
        </w:tc>
      </w:tr>
      <w:tr w:rsidR="00E84B58" w14:paraId="22A85405" w14:textId="77777777" w:rsidTr="00334FB3">
        <w:trPr>
          <w:trHeight w:val="1880"/>
        </w:trPr>
        <w:tc>
          <w:tcPr>
            <w:tcW w:w="540" w:type="dxa"/>
            <w:vAlign w:val="center"/>
          </w:tcPr>
          <w:p w14:paraId="7ED756E3" w14:textId="0DD33993" w:rsidR="00E84B58" w:rsidRDefault="00486483" w:rsidP="00E84B58">
            <w:r>
              <w:t>19.</w:t>
            </w:r>
          </w:p>
        </w:tc>
        <w:tc>
          <w:tcPr>
            <w:tcW w:w="3240" w:type="dxa"/>
            <w:vAlign w:val="center"/>
          </w:tcPr>
          <w:p w14:paraId="3354B56C" w14:textId="70AC3ACD" w:rsidR="00E84B58" w:rsidRPr="002A2983" w:rsidRDefault="00D514F4" w:rsidP="00E84B58">
            <w:proofErr w:type="spellStart"/>
            <w:r w:rsidRPr="002A2983">
              <w:t>Начин</w:t>
            </w:r>
            <w:proofErr w:type="spellEnd"/>
            <w:r w:rsidRPr="002A2983">
              <w:t xml:space="preserve"> </w:t>
            </w:r>
            <w:proofErr w:type="spellStart"/>
            <w:r w:rsidRPr="002A2983">
              <w:t>комуникације</w:t>
            </w:r>
            <w:proofErr w:type="spellEnd"/>
            <w:r w:rsidRPr="002A2983">
              <w:t xml:space="preserve"> </w:t>
            </w:r>
            <w:proofErr w:type="spellStart"/>
            <w:r w:rsidRPr="002A2983">
              <w:t>са</w:t>
            </w:r>
            <w:proofErr w:type="spellEnd"/>
            <w:r w:rsidRPr="002A2983">
              <w:t xml:space="preserve"> </w:t>
            </w:r>
            <w:proofErr w:type="spellStart"/>
            <w:r w:rsidRPr="002A2983">
              <w:t>даваоцем</w:t>
            </w:r>
            <w:proofErr w:type="spellEnd"/>
            <w:r w:rsidRPr="002A2983">
              <w:t xml:space="preserve"> </w:t>
            </w:r>
            <w:proofErr w:type="spellStart"/>
            <w:r w:rsidRPr="002A2983">
              <w:t>буџетских</w:t>
            </w:r>
            <w:proofErr w:type="spellEnd"/>
            <w:r w:rsidRPr="002A2983">
              <w:t xml:space="preserve"> </w:t>
            </w:r>
            <w:proofErr w:type="spellStart"/>
            <w:r w:rsidRPr="002A2983">
              <w:t>средстава</w:t>
            </w:r>
            <w:proofErr w:type="spellEnd"/>
            <w:r w:rsidRPr="002A2983">
              <w:t xml:space="preserve"> </w:t>
            </w:r>
            <w:proofErr w:type="spellStart"/>
            <w:r w:rsidRPr="002A2983">
              <w:t>током</w:t>
            </w:r>
            <w:proofErr w:type="spellEnd"/>
            <w:r w:rsidRPr="002A2983">
              <w:t xml:space="preserve"> </w:t>
            </w:r>
            <w:proofErr w:type="spellStart"/>
            <w:r w:rsidRPr="002A2983">
              <w:t>трајања</w:t>
            </w:r>
            <w:proofErr w:type="spellEnd"/>
            <w:r>
              <w:t xml:space="preserve"> </w:t>
            </w:r>
            <w:proofErr w:type="spellStart"/>
            <w:r>
              <w:t>Сталног</w:t>
            </w:r>
            <w:proofErr w:type="spellEnd"/>
            <w:r w:rsidRPr="002A2983">
              <w:t xml:space="preserve"> </w:t>
            </w:r>
            <w:proofErr w:type="spellStart"/>
            <w:r w:rsidRPr="002A2983">
              <w:t>јавног</w:t>
            </w:r>
            <w:proofErr w:type="spellEnd"/>
            <w:r w:rsidRPr="002A2983">
              <w:t xml:space="preserve"> </w:t>
            </w:r>
            <w:proofErr w:type="spellStart"/>
            <w:r w:rsidRPr="002A2983">
              <w:t>позива</w:t>
            </w:r>
            <w:proofErr w:type="spellEnd"/>
          </w:p>
        </w:tc>
        <w:tc>
          <w:tcPr>
            <w:tcW w:w="6390" w:type="dxa"/>
            <w:vAlign w:val="center"/>
          </w:tcPr>
          <w:p w14:paraId="07A0CE7D" w14:textId="77777777" w:rsidR="00D514F4" w:rsidRPr="00EF3436" w:rsidRDefault="00D514F4" w:rsidP="00A627A7">
            <w:proofErr w:type="spellStart"/>
            <w:r w:rsidRPr="00EF3436">
              <w:rPr>
                <w:u w:val="single"/>
              </w:rPr>
              <w:t>Начин</w:t>
            </w:r>
            <w:proofErr w:type="spellEnd"/>
            <w:r w:rsidRPr="00EF3436">
              <w:rPr>
                <w:u w:val="single"/>
              </w:rPr>
              <w:t xml:space="preserve"> </w:t>
            </w:r>
            <w:proofErr w:type="spellStart"/>
            <w:r w:rsidRPr="00EF3436">
              <w:rPr>
                <w:u w:val="single"/>
              </w:rPr>
              <w:t>комуникације</w:t>
            </w:r>
            <w:proofErr w:type="spellEnd"/>
            <w:r w:rsidRPr="00EF3436">
              <w:rPr>
                <w:u w:val="single"/>
              </w:rPr>
              <w:t xml:space="preserve"> </w:t>
            </w:r>
            <w:proofErr w:type="spellStart"/>
            <w:r w:rsidRPr="00EF3436">
              <w:rPr>
                <w:u w:val="single"/>
              </w:rPr>
              <w:t>са</w:t>
            </w:r>
            <w:proofErr w:type="spellEnd"/>
            <w:r w:rsidRPr="00EF3436">
              <w:rPr>
                <w:u w:val="single"/>
              </w:rPr>
              <w:t xml:space="preserve"> </w:t>
            </w:r>
            <w:proofErr w:type="spellStart"/>
            <w:r w:rsidRPr="00EF3436">
              <w:rPr>
                <w:u w:val="single"/>
              </w:rPr>
              <w:t>даваоцем</w:t>
            </w:r>
            <w:proofErr w:type="spellEnd"/>
            <w:r w:rsidRPr="00EF3436">
              <w:rPr>
                <w:u w:val="single"/>
              </w:rPr>
              <w:t xml:space="preserve"> </w:t>
            </w:r>
            <w:proofErr w:type="spellStart"/>
            <w:r w:rsidRPr="00EF3436">
              <w:rPr>
                <w:u w:val="single"/>
              </w:rPr>
              <w:t>буџетских</w:t>
            </w:r>
            <w:proofErr w:type="spellEnd"/>
            <w:r w:rsidRPr="00EF3436">
              <w:rPr>
                <w:u w:val="single"/>
              </w:rPr>
              <w:t xml:space="preserve"> </w:t>
            </w:r>
            <w:proofErr w:type="spellStart"/>
            <w:r w:rsidRPr="00EF3436">
              <w:rPr>
                <w:u w:val="single"/>
              </w:rPr>
              <w:t>средстава</w:t>
            </w:r>
            <w:proofErr w:type="spellEnd"/>
            <w:r w:rsidRPr="00EF3436">
              <w:rPr>
                <w:u w:val="single"/>
              </w:rPr>
              <w:t xml:space="preserve"> </w:t>
            </w:r>
            <w:proofErr w:type="spellStart"/>
            <w:r w:rsidRPr="00EF3436">
              <w:rPr>
                <w:u w:val="single"/>
              </w:rPr>
              <w:t>током</w:t>
            </w:r>
            <w:proofErr w:type="spellEnd"/>
            <w:r w:rsidRPr="00EF3436">
              <w:rPr>
                <w:u w:val="single"/>
              </w:rPr>
              <w:t xml:space="preserve"> </w:t>
            </w:r>
            <w:proofErr w:type="spellStart"/>
            <w:r w:rsidRPr="00EF3436">
              <w:rPr>
                <w:u w:val="single"/>
              </w:rPr>
              <w:t>трајања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Сталног</w:t>
            </w:r>
            <w:proofErr w:type="spellEnd"/>
            <w:r w:rsidRPr="00EF3436">
              <w:rPr>
                <w:u w:val="single"/>
              </w:rPr>
              <w:t xml:space="preserve"> </w:t>
            </w:r>
            <w:proofErr w:type="spellStart"/>
            <w:r w:rsidRPr="00EF3436">
              <w:rPr>
                <w:u w:val="single"/>
              </w:rPr>
              <w:t>јавног</w:t>
            </w:r>
            <w:proofErr w:type="spellEnd"/>
            <w:r w:rsidRPr="00EF3436">
              <w:rPr>
                <w:u w:val="single"/>
              </w:rPr>
              <w:t xml:space="preserve"> </w:t>
            </w:r>
            <w:proofErr w:type="spellStart"/>
            <w:r w:rsidRPr="00EF3436">
              <w:rPr>
                <w:u w:val="single"/>
              </w:rPr>
              <w:t>позива</w:t>
            </w:r>
            <w:proofErr w:type="spellEnd"/>
            <w:r w:rsidRPr="00EF3436">
              <w:t>:</w:t>
            </w:r>
          </w:p>
          <w:p w14:paraId="3F1E46C2" w14:textId="77777777" w:rsidR="00D514F4" w:rsidRDefault="00D514F4" w:rsidP="00A627A7">
            <w:proofErr w:type="spellStart"/>
            <w:r>
              <w:t>Контакт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  <w:r>
              <w:t xml:space="preserve"> </w:t>
            </w:r>
            <w:proofErr w:type="spellStart"/>
            <w:r>
              <w:t>телефона</w:t>
            </w:r>
            <w:proofErr w:type="spellEnd"/>
            <w:r>
              <w:t xml:space="preserve"> у </w:t>
            </w:r>
            <w:proofErr w:type="spellStart"/>
            <w:r>
              <w:t>Сектору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интегрално</w:t>
            </w:r>
            <w:proofErr w:type="spellEnd"/>
            <w:r>
              <w:t xml:space="preserve"> </w:t>
            </w:r>
            <w:proofErr w:type="spellStart"/>
            <w:r>
              <w:t>образовање</w:t>
            </w:r>
            <w:proofErr w:type="spellEnd"/>
            <w:r>
              <w:t xml:space="preserve"> и </w:t>
            </w:r>
            <w:proofErr w:type="spellStart"/>
            <w:r>
              <w:t>развој</w:t>
            </w:r>
            <w:proofErr w:type="spellEnd"/>
            <w:r>
              <w:t xml:space="preserve">  </w:t>
            </w:r>
            <w:proofErr w:type="spellStart"/>
            <w:r>
              <w:t>је</w:t>
            </w:r>
            <w:proofErr w:type="spellEnd"/>
            <w:r>
              <w:t xml:space="preserve"> 036/355-706.</w:t>
            </w:r>
          </w:p>
          <w:p w14:paraId="078D66E8" w14:textId="77777777" w:rsidR="00D514F4" w:rsidRDefault="00D514F4" w:rsidP="00A627A7">
            <w:proofErr w:type="spellStart"/>
            <w:r w:rsidRPr="002A2983">
              <w:t>Информације</w:t>
            </w:r>
            <w:proofErr w:type="spellEnd"/>
            <w:r w:rsidRPr="002A2983">
              <w:t xml:space="preserve"> </w:t>
            </w:r>
            <w:proofErr w:type="spellStart"/>
            <w:r w:rsidRPr="002A2983">
              <w:t>се</w:t>
            </w:r>
            <w:proofErr w:type="spellEnd"/>
            <w:r w:rsidRPr="002A2983">
              <w:t xml:space="preserve"> </w:t>
            </w:r>
            <w:proofErr w:type="spellStart"/>
            <w:r w:rsidRPr="002A2983">
              <w:t>могу</w:t>
            </w:r>
            <w:proofErr w:type="spellEnd"/>
            <w:r w:rsidRPr="002A2983">
              <w:t xml:space="preserve"> </w:t>
            </w:r>
            <w:proofErr w:type="spellStart"/>
            <w:r w:rsidRPr="002A2983">
              <w:t>добити</w:t>
            </w:r>
            <w:proofErr w:type="spellEnd"/>
            <w:r w:rsidRPr="002A2983">
              <w:t xml:space="preserve"> </w:t>
            </w:r>
            <w:proofErr w:type="spellStart"/>
            <w:r w:rsidRPr="002A2983">
              <w:t>радним</w:t>
            </w:r>
            <w:proofErr w:type="spellEnd"/>
            <w:r w:rsidRPr="002A2983">
              <w:t xml:space="preserve"> </w:t>
            </w:r>
            <w:proofErr w:type="spellStart"/>
            <w:r w:rsidRPr="002A2983">
              <w:t>дан</w:t>
            </w:r>
            <w:r>
              <w:t>има</w:t>
            </w:r>
            <w:proofErr w:type="spellEnd"/>
            <w:r w:rsidRPr="002A2983">
              <w:t xml:space="preserve"> </w:t>
            </w:r>
            <w:proofErr w:type="spellStart"/>
            <w:r w:rsidRPr="002A2983">
              <w:t>од</w:t>
            </w:r>
            <w:proofErr w:type="spellEnd"/>
            <w:r w:rsidRPr="002A2983">
              <w:t xml:space="preserve"> 8.00 </w:t>
            </w:r>
            <w:proofErr w:type="spellStart"/>
            <w:r w:rsidRPr="002A2983">
              <w:t>до</w:t>
            </w:r>
            <w:proofErr w:type="spellEnd"/>
            <w:r w:rsidRPr="002A2983">
              <w:t xml:space="preserve"> 16.00 </w:t>
            </w:r>
            <w:proofErr w:type="spellStart"/>
            <w:r w:rsidRPr="002A2983">
              <w:t>сати</w:t>
            </w:r>
            <w:proofErr w:type="spellEnd"/>
            <w:r>
              <w:t>.</w:t>
            </w:r>
          </w:p>
          <w:p w14:paraId="53C0B338" w14:textId="0FC4B001" w:rsidR="00E84B58" w:rsidRDefault="00E84B58" w:rsidP="00E84B58"/>
        </w:tc>
      </w:tr>
    </w:tbl>
    <w:p w14:paraId="2EAC1424" w14:textId="77777777" w:rsidR="00531CAA" w:rsidRDefault="00531CAA" w:rsidP="00531CAA"/>
    <w:p w14:paraId="1A8D7821" w14:textId="77777777" w:rsidR="00531CAA" w:rsidRDefault="00531CAA" w:rsidP="00531CAA"/>
    <w:sectPr w:rsidR="00531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0A4B"/>
    <w:multiLevelType w:val="hybridMultilevel"/>
    <w:tmpl w:val="1A8CEB0A"/>
    <w:lvl w:ilvl="0" w:tplc="B7526A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1E59D8"/>
    <w:multiLevelType w:val="hybridMultilevel"/>
    <w:tmpl w:val="E1A88184"/>
    <w:lvl w:ilvl="0" w:tplc="03AEAD8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183A41"/>
    <w:multiLevelType w:val="hybridMultilevel"/>
    <w:tmpl w:val="148EC81A"/>
    <w:lvl w:ilvl="0" w:tplc="141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 w15:restartNumberingAfterBreak="0">
    <w:nsid w:val="3BEE4A10"/>
    <w:multiLevelType w:val="hybridMultilevel"/>
    <w:tmpl w:val="C578148A"/>
    <w:lvl w:ilvl="0" w:tplc="639E14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D02A1"/>
    <w:multiLevelType w:val="hybridMultilevel"/>
    <w:tmpl w:val="331C06DC"/>
    <w:lvl w:ilvl="0" w:tplc="03AEAD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824F9"/>
    <w:multiLevelType w:val="hybridMultilevel"/>
    <w:tmpl w:val="F2BA768E"/>
    <w:lvl w:ilvl="0" w:tplc="03AEAD8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8261B86"/>
    <w:multiLevelType w:val="hybridMultilevel"/>
    <w:tmpl w:val="366C5618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A24935"/>
    <w:multiLevelType w:val="hybridMultilevel"/>
    <w:tmpl w:val="8298A400"/>
    <w:lvl w:ilvl="0" w:tplc="141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72AF6379"/>
    <w:multiLevelType w:val="hybridMultilevel"/>
    <w:tmpl w:val="C8F60CFE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C840BC"/>
    <w:multiLevelType w:val="hybridMultilevel"/>
    <w:tmpl w:val="0C102B8E"/>
    <w:lvl w:ilvl="0" w:tplc="4006AB2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9"/>
  </w:num>
  <w:num w:numId="9">
    <w:abstractNumId w:val="2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E94"/>
    <w:rsid w:val="00020D84"/>
    <w:rsid w:val="0003560D"/>
    <w:rsid w:val="00037C9A"/>
    <w:rsid w:val="000434BB"/>
    <w:rsid w:val="000475E5"/>
    <w:rsid w:val="00072C5F"/>
    <w:rsid w:val="0008271A"/>
    <w:rsid w:val="000843B5"/>
    <w:rsid w:val="000879A7"/>
    <w:rsid w:val="000907CB"/>
    <w:rsid w:val="000A4352"/>
    <w:rsid w:val="00102F11"/>
    <w:rsid w:val="00114EBC"/>
    <w:rsid w:val="00122D47"/>
    <w:rsid w:val="001534F8"/>
    <w:rsid w:val="00161512"/>
    <w:rsid w:val="00161610"/>
    <w:rsid w:val="00180C3E"/>
    <w:rsid w:val="001862B9"/>
    <w:rsid w:val="00286516"/>
    <w:rsid w:val="00287EE4"/>
    <w:rsid w:val="002A2983"/>
    <w:rsid w:val="002B5B75"/>
    <w:rsid w:val="002C27AA"/>
    <w:rsid w:val="002C3A5D"/>
    <w:rsid w:val="00321F38"/>
    <w:rsid w:val="00326233"/>
    <w:rsid w:val="00334FB3"/>
    <w:rsid w:val="003430D1"/>
    <w:rsid w:val="0036621D"/>
    <w:rsid w:val="0038023F"/>
    <w:rsid w:val="00385848"/>
    <w:rsid w:val="003B3437"/>
    <w:rsid w:val="003D5024"/>
    <w:rsid w:val="00403850"/>
    <w:rsid w:val="00422BD0"/>
    <w:rsid w:val="00456BE5"/>
    <w:rsid w:val="00486483"/>
    <w:rsid w:val="00493BB0"/>
    <w:rsid w:val="004C6670"/>
    <w:rsid w:val="00531CAA"/>
    <w:rsid w:val="00597786"/>
    <w:rsid w:val="006126FC"/>
    <w:rsid w:val="006409CC"/>
    <w:rsid w:val="0064482B"/>
    <w:rsid w:val="006567C9"/>
    <w:rsid w:val="0068154B"/>
    <w:rsid w:val="00687129"/>
    <w:rsid w:val="006C58F3"/>
    <w:rsid w:val="006C7B63"/>
    <w:rsid w:val="006D6D24"/>
    <w:rsid w:val="00722A74"/>
    <w:rsid w:val="00776F32"/>
    <w:rsid w:val="007B3F39"/>
    <w:rsid w:val="007C2323"/>
    <w:rsid w:val="007C2E94"/>
    <w:rsid w:val="007D6BFF"/>
    <w:rsid w:val="008000F4"/>
    <w:rsid w:val="00802E2E"/>
    <w:rsid w:val="00827553"/>
    <w:rsid w:val="00833584"/>
    <w:rsid w:val="00846476"/>
    <w:rsid w:val="008478FD"/>
    <w:rsid w:val="0086785F"/>
    <w:rsid w:val="00892F08"/>
    <w:rsid w:val="008A43F2"/>
    <w:rsid w:val="008A5386"/>
    <w:rsid w:val="008B241A"/>
    <w:rsid w:val="008C23F3"/>
    <w:rsid w:val="008D7232"/>
    <w:rsid w:val="008F6BF9"/>
    <w:rsid w:val="0090497E"/>
    <w:rsid w:val="009475D3"/>
    <w:rsid w:val="00951D12"/>
    <w:rsid w:val="00962FDE"/>
    <w:rsid w:val="00982C39"/>
    <w:rsid w:val="00990EFB"/>
    <w:rsid w:val="009B6EE9"/>
    <w:rsid w:val="009D1A2F"/>
    <w:rsid w:val="009D642D"/>
    <w:rsid w:val="00A052B2"/>
    <w:rsid w:val="00A12739"/>
    <w:rsid w:val="00A22490"/>
    <w:rsid w:val="00A22BD2"/>
    <w:rsid w:val="00A40C84"/>
    <w:rsid w:val="00A51A77"/>
    <w:rsid w:val="00A66572"/>
    <w:rsid w:val="00AA7510"/>
    <w:rsid w:val="00AE0B86"/>
    <w:rsid w:val="00AF1841"/>
    <w:rsid w:val="00AF50BB"/>
    <w:rsid w:val="00B44658"/>
    <w:rsid w:val="00B6735F"/>
    <w:rsid w:val="00BF54DB"/>
    <w:rsid w:val="00C24C3A"/>
    <w:rsid w:val="00C353B4"/>
    <w:rsid w:val="00C50951"/>
    <w:rsid w:val="00C5490C"/>
    <w:rsid w:val="00C65E03"/>
    <w:rsid w:val="00C93581"/>
    <w:rsid w:val="00C9651C"/>
    <w:rsid w:val="00CC33B5"/>
    <w:rsid w:val="00CD3D81"/>
    <w:rsid w:val="00CF333E"/>
    <w:rsid w:val="00D07C20"/>
    <w:rsid w:val="00D12C7D"/>
    <w:rsid w:val="00D514F4"/>
    <w:rsid w:val="00DD3831"/>
    <w:rsid w:val="00DE2751"/>
    <w:rsid w:val="00E1434A"/>
    <w:rsid w:val="00E22E85"/>
    <w:rsid w:val="00E238D6"/>
    <w:rsid w:val="00E36A09"/>
    <w:rsid w:val="00E40759"/>
    <w:rsid w:val="00E40D86"/>
    <w:rsid w:val="00E84B58"/>
    <w:rsid w:val="00EF3436"/>
    <w:rsid w:val="00EF3F14"/>
    <w:rsid w:val="00F03B24"/>
    <w:rsid w:val="00F12784"/>
    <w:rsid w:val="00F33EAF"/>
    <w:rsid w:val="00F4163F"/>
    <w:rsid w:val="00F75BC7"/>
    <w:rsid w:val="00FD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C44FD"/>
  <w15:chartTrackingRefBased/>
  <w15:docId w15:val="{9FCEE921-BE66-4DE0-8BF1-4E857493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80C3E"/>
    <w:rPr>
      <w:b/>
      <w:bCs/>
    </w:rPr>
  </w:style>
  <w:style w:type="paragraph" w:styleId="ListParagraph">
    <w:name w:val="List Paragraph"/>
    <w:basedOn w:val="Normal"/>
    <w:uiPriority w:val="34"/>
    <w:qFormat/>
    <w:rsid w:val="00722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6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3A702-E25B-4981-A424-D87FBA634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Djenana</cp:lastModifiedBy>
  <cp:revision>11</cp:revision>
  <cp:lastPrinted>2024-06-11T10:00:00Z</cp:lastPrinted>
  <dcterms:created xsi:type="dcterms:W3CDTF">2026-04-10T12:52:00Z</dcterms:created>
  <dcterms:modified xsi:type="dcterms:W3CDTF">2026-04-14T09:42:00Z</dcterms:modified>
</cp:coreProperties>
</file>